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01F7F" w14:textId="77777777" w:rsidR="006117DE" w:rsidRPr="006117DE" w:rsidRDefault="006117DE" w:rsidP="003B01C1">
      <w:pPr>
        <w:spacing w:after="0" w:line="360" w:lineRule="auto"/>
        <w:rPr>
          <w:rFonts w:ascii="Arial" w:eastAsia="Times New Roman" w:hAnsi="Arial" w:cs="Arial"/>
          <w:sz w:val="28"/>
          <w:szCs w:val="28"/>
          <w:lang w:eastAsia="fr-FR"/>
        </w:rPr>
      </w:pPr>
    </w:p>
    <w:p w14:paraId="59C4F5D8"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b/>
          <w:bCs/>
          <w:sz w:val="28"/>
          <w:szCs w:val="28"/>
        </w:rPr>
        <w:t>Ministry of Justice, Islamic Affairs and Waqf </w:t>
      </w:r>
    </w:p>
    <w:p w14:paraId="74184DD6" w14:textId="77777777" w:rsidR="006117DE" w:rsidRPr="006117DE" w:rsidRDefault="006117DE" w:rsidP="003B01C1">
      <w:pPr>
        <w:spacing w:after="0" w:line="360" w:lineRule="auto"/>
        <w:jc w:val="center"/>
        <w:rPr>
          <w:rFonts w:ascii="Arial" w:eastAsia="Times New Roman" w:hAnsi="Arial" w:cs="Arial"/>
          <w:b/>
          <w:bCs/>
          <w:sz w:val="28"/>
          <w:szCs w:val="28"/>
          <w:lang w:val="en-US" w:eastAsia="fr-FR"/>
        </w:rPr>
      </w:pPr>
      <w:r w:rsidRPr="006117DE">
        <w:rPr>
          <w:rFonts w:ascii="Arial" w:eastAsia="Times New Roman" w:hAnsi="Arial" w:cs="Arial"/>
          <w:b/>
          <w:bCs/>
          <w:sz w:val="28"/>
          <w:szCs w:val="28"/>
        </w:rPr>
        <w:t>Decision No. (26) of 2023</w:t>
      </w:r>
      <w:r w:rsidRPr="006117DE">
        <w:rPr>
          <w:rFonts w:ascii="Arial" w:eastAsia="Times New Roman" w:hAnsi="Arial" w:cs="Arial"/>
          <w:b/>
          <w:bCs/>
          <w:sz w:val="28"/>
          <w:szCs w:val="28"/>
        </w:rPr>
        <w:br/>
        <w:t>amending some provisions of the Decision No. (44) of 2021</w:t>
      </w:r>
      <w:r w:rsidRPr="006117DE">
        <w:rPr>
          <w:rFonts w:ascii="Arial" w:eastAsia="Times New Roman" w:hAnsi="Arial" w:cs="Arial"/>
          <w:b/>
          <w:bCs/>
          <w:sz w:val="28"/>
          <w:szCs w:val="28"/>
        </w:rPr>
        <w:br/>
        <w:t>Adopting Electronic Services for the Submission of Regulations,</w:t>
      </w:r>
      <w:r w:rsidRPr="006117DE">
        <w:rPr>
          <w:rFonts w:ascii="Arial" w:eastAsia="Times New Roman" w:hAnsi="Arial" w:cs="Arial"/>
          <w:b/>
          <w:bCs/>
          <w:sz w:val="28"/>
          <w:szCs w:val="28"/>
        </w:rPr>
        <w:br/>
        <w:t>Documents, Memorandums and Judicial Requests</w:t>
      </w:r>
      <w:r w:rsidRPr="006117DE">
        <w:rPr>
          <w:rStyle w:val="FootnoteReference"/>
          <w:rFonts w:ascii="Arial" w:eastAsia="Times New Roman" w:hAnsi="Arial" w:cs="Arial"/>
          <w:b/>
          <w:bCs/>
          <w:sz w:val="28"/>
          <w:szCs w:val="28"/>
        </w:rPr>
        <w:footnoteReference w:id="1"/>
      </w:r>
    </w:p>
    <w:p w14:paraId="636F10F0"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Minister of Justice, Islamic Affairs and Waqf: </w:t>
      </w:r>
    </w:p>
    <w:p w14:paraId="36E9AD51" w14:textId="77777777" w:rsidR="006117DE" w:rsidRPr="006117DE" w:rsidRDefault="006117DE" w:rsidP="003B01C1">
      <w:pPr>
        <w:spacing w:after="0" w:line="360" w:lineRule="auto"/>
        <w:rPr>
          <w:rFonts w:ascii="Arial" w:eastAsia="Times New Roman" w:hAnsi="Arial" w:cs="Arial"/>
          <w:sz w:val="28"/>
          <w:szCs w:val="28"/>
          <w:lang w:eastAsia="fr-FR"/>
        </w:rPr>
      </w:pPr>
      <w:r w:rsidRPr="006117DE">
        <w:rPr>
          <w:rFonts w:ascii="Arial" w:eastAsia="Times New Roman" w:hAnsi="Arial" w:cs="Arial"/>
          <w:sz w:val="28"/>
          <w:szCs w:val="28"/>
        </w:rPr>
        <w:t>Having reviewed the Civil and Commercial Procedures Law promulgated by Legislative Decree No. (12) of 1971, as amended, in particular Articles (7) bis, (62) bis thereof; </w:t>
      </w:r>
    </w:p>
    <w:p w14:paraId="3DAAC601"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Legislative Decree No. (26) of 1986 regarding the Procedures Before Sharia Courts, as amended; </w:t>
      </w:r>
    </w:p>
    <w:p w14:paraId="5B7AFC70" w14:textId="77777777" w:rsidR="006117DE" w:rsidRPr="006117DE" w:rsidRDefault="006117DE" w:rsidP="003B01C1">
      <w:pPr>
        <w:spacing w:after="0" w:line="360" w:lineRule="auto"/>
        <w:rPr>
          <w:rFonts w:ascii="Arial" w:eastAsia="Times New Roman" w:hAnsi="Arial" w:cs="Arial"/>
          <w:sz w:val="28"/>
          <w:szCs w:val="28"/>
          <w:lang w:eastAsia="fr-FR"/>
        </w:rPr>
      </w:pPr>
      <w:r w:rsidRPr="006117DE">
        <w:rPr>
          <w:rFonts w:ascii="Arial" w:eastAsia="Times New Roman" w:hAnsi="Arial" w:cs="Arial"/>
          <w:sz w:val="28"/>
          <w:szCs w:val="28"/>
        </w:rPr>
        <w:t>Evidence in Civil and Commercial Matters Law promulgated by Legislative Decree No. (14) of 1996, as amended; </w:t>
      </w:r>
    </w:p>
    <w:p w14:paraId="183339FE" w14:textId="77777777" w:rsidR="006117DE" w:rsidRPr="006117DE" w:rsidRDefault="006117DE" w:rsidP="003B01C1">
      <w:pPr>
        <w:spacing w:after="0" w:line="360" w:lineRule="auto"/>
        <w:rPr>
          <w:rFonts w:ascii="Arial" w:eastAsia="Times New Roman" w:hAnsi="Arial" w:cs="Arial"/>
          <w:sz w:val="28"/>
          <w:szCs w:val="28"/>
          <w:lang w:eastAsia="fr-FR"/>
        </w:rPr>
      </w:pPr>
      <w:r w:rsidRPr="006117DE">
        <w:rPr>
          <w:rFonts w:ascii="Arial" w:eastAsia="Times New Roman" w:hAnsi="Arial" w:cs="Arial"/>
          <w:sz w:val="28"/>
          <w:szCs w:val="28"/>
        </w:rPr>
        <w:t>Electronic Communications and Transactions Law promulgated by Legislative Decree No. (54) of 2018, as amended by Law No. (29) of 2021; </w:t>
      </w:r>
    </w:p>
    <w:p w14:paraId="00448EEF"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Decree No. (69) of 2015 on the Establishment of the Information &amp; eGovernment Authority; </w:t>
      </w:r>
    </w:p>
    <w:p w14:paraId="612C0924"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Decision No. (127) of 2019 regarding the Acceptance and Scope of Electronic Transactions; </w:t>
      </w:r>
    </w:p>
    <w:p w14:paraId="71678B42"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Procedures Regulation for Commercial Lawsuits promulgated by Decision No. (30) of 2020, amended by Decision No. (23) of 2023; </w:t>
      </w:r>
    </w:p>
    <w:p w14:paraId="2C5661C2" w14:textId="77777777" w:rsidR="006117DE" w:rsidRPr="006117DE" w:rsidRDefault="006117DE" w:rsidP="003B01C1">
      <w:pPr>
        <w:spacing w:after="0" w:line="360" w:lineRule="auto"/>
        <w:rPr>
          <w:rFonts w:ascii="Arial" w:eastAsia="Times New Roman" w:hAnsi="Arial" w:cs="Arial"/>
          <w:sz w:val="28"/>
          <w:szCs w:val="28"/>
          <w:lang w:eastAsia="fr-FR"/>
        </w:rPr>
      </w:pPr>
      <w:r w:rsidRPr="006117DE">
        <w:rPr>
          <w:rFonts w:ascii="Arial" w:eastAsia="Times New Roman" w:hAnsi="Arial" w:cs="Arial"/>
          <w:sz w:val="28"/>
          <w:szCs w:val="28"/>
        </w:rPr>
        <w:t>Procedures Regulation for Small Claims, promulgated by Decision No. (35) of 2020, amended by Resolution No. (24) of 2023; </w:t>
      </w:r>
    </w:p>
    <w:p w14:paraId="08F10FD8"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Decision No. (41) of 2020 regarding the Procedures for Invoicing Lawsuits; </w:t>
      </w:r>
    </w:p>
    <w:p w14:paraId="22F98612"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lastRenderedPageBreak/>
        <w:t>Decision No. (44) of 2021 by adopting Electronic Services for the Submission of Regulations, Documents, Memorandums and Judicial Requests; </w:t>
      </w:r>
    </w:p>
    <w:p w14:paraId="599927A5" w14:textId="77777777" w:rsidR="006117DE" w:rsidRPr="006117DE" w:rsidRDefault="006117DE" w:rsidP="003B01C1">
      <w:pPr>
        <w:spacing w:after="0" w:line="360" w:lineRule="auto"/>
        <w:rPr>
          <w:rFonts w:ascii="Arial" w:eastAsia="Times New Roman" w:hAnsi="Arial" w:cs="Arial"/>
          <w:sz w:val="28"/>
          <w:szCs w:val="28"/>
          <w:lang w:eastAsia="fr-FR"/>
        </w:rPr>
      </w:pPr>
      <w:r w:rsidRPr="006117DE">
        <w:rPr>
          <w:rFonts w:ascii="Arial" w:eastAsia="Times New Roman" w:hAnsi="Arial" w:cs="Arial"/>
          <w:sz w:val="28"/>
          <w:szCs w:val="28"/>
        </w:rPr>
        <w:t>Procedures Regulation for Civil Lawsuits, promulgated by Decision No. (42) of 2020; as amended by Decision No (25) of 2023; </w:t>
      </w:r>
    </w:p>
    <w:p w14:paraId="6392CD3D"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And after the approval of the Supreme Judicial Council; </w:t>
      </w:r>
    </w:p>
    <w:p w14:paraId="11D8975F"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And upon the submission of the Under-secretary for Justice and Islamic Affairs. </w:t>
      </w:r>
    </w:p>
    <w:p w14:paraId="3D33D4CE" w14:textId="77777777" w:rsidR="006117DE" w:rsidRPr="006117DE" w:rsidRDefault="006117DE" w:rsidP="003B01C1">
      <w:pPr>
        <w:spacing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Hereby Decides:</w:t>
      </w:r>
    </w:p>
    <w:p w14:paraId="0877ACA5" w14:textId="77777777" w:rsidR="006117DE" w:rsidRPr="006117DE" w:rsidRDefault="006117DE" w:rsidP="003B01C1">
      <w:pPr>
        <w:spacing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Article One</w:t>
      </w:r>
    </w:p>
    <w:p w14:paraId="7226E631"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Replaced with the text of article four of Decision No. (44) of 2021 by adopting Electronic Services for the Submission of Regulations, Documents, Memorandums and Judicial Requests, by the following text: </w:t>
      </w:r>
    </w:p>
    <w:p w14:paraId="5959E51A"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"The service (submission of lawsuit memorandums) available on the Authority's website, but not others, shall be used as an electronic means of submitting judicial submissions and accompanying documents, as well as additional documents submitted by the parties to the dispute, as well as for submitting applications and notifications not included in the schedule annexed to this decision.” </w:t>
      </w:r>
    </w:p>
    <w:p w14:paraId="68B707A9" w14:textId="77777777" w:rsidR="006117DE" w:rsidRPr="006117DE" w:rsidRDefault="006117DE" w:rsidP="003B01C1">
      <w:pPr>
        <w:spacing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Article Two</w:t>
      </w:r>
    </w:p>
    <w:p w14:paraId="50ADC9D7"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 xml:space="preserve">In addition to the table annexed to Decree No. (44) of 2021, adopting electronic services for the submission of regulations, documents, Memorandums and judicial requests, a new judicial application under the heading </w:t>
      </w:r>
      <w:r w:rsidRPr="006117DE">
        <w:rPr>
          <w:rFonts w:ascii="Arial" w:eastAsia="Times New Roman" w:hAnsi="Arial" w:cs="Arial" w:hint="cs"/>
          <w:sz w:val="28"/>
          <w:szCs w:val="28"/>
        </w:rPr>
        <w:t>)</w:t>
      </w:r>
      <w:r w:rsidRPr="006117DE">
        <w:rPr>
          <w:rFonts w:ascii="Arial" w:eastAsia="Times New Roman" w:hAnsi="Arial" w:cs="Arial"/>
          <w:sz w:val="28"/>
          <w:szCs w:val="28"/>
        </w:rPr>
        <w:t>Judicial request</w:t>
      </w:r>
      <w:r w:rsidRPr="006117DE">
        <w:rPr>
          <w:rFonts w:ascii="Arial" w:eastAsia="Times New Roman" w:hAnsi="Arial" w:cs="Arial" w:hint="cs"/>
          <w:sz w:val="28"/>
          <w:szCs w:val="28"/>
        </w:rPr>
        <w:t>(</w:t>
      </w:r>
      <w:r w:rsidRPr="006117DE">
        <w:rPr>
          <w:rFonts w:ascii="Arial" w:eastAsia="Times New Roman" w:hAnsi="Arial" w:cs="Arial"/>
          <w:sz w:val="28"/>
          <w:szCs w:val="28"/>
        </w:rPr>
        <w:t>, which reads as follows: </w:t>
      </w:r>
    </w:p>
    <w:p w14:paraId="36252914" w14:textId="77777777" w:rsidR="006117DE" w:rsidRPr="006117DE" w:rsidRDefault="006117DE" w:rsidP="003B01C1">
      <w:pPr>
        <w:spacing w:after="0" w:line="360" w:lineRule="auto"/>
        <w:rPr>
          <w:rFonts w:ascii="Arial" w:eastAsia="Times New Roman" w:hAnsi="Arial" w:cs="Arial"/>
          <w:sz w:val="28"/>
          <w:szCs w:val="28"/>
        </w:rPr>
      </w:pPr>
      <w:r w:rsidRPr="006117DE">
        <w:rPr>
          <w:rFonts w:ascii="Arial" w:eastAsia="Times New Roman" w:hAnsi="Arial" w:cs="Arial"/>
          <w:sz w:val="28"/>
          <w:szCs w:val="28"/>
        </w:rPr>
        <w:t>expert empowerment. </w:t>
      </w:r>
    </w:p>
    <w:p w14:paraId="4AA5B44A" w14:textId="77777777" w:rsidR="006117DE" w:rsidRPr="006117DE" w:rsidRDefault="006117DE" w:rsidP="003B01C1">
      <w:pPr>
        <w:keepNext/>
        <w:spacing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Article Three</w:t>
      </w:r>
    </w:p>
    <w:p w14:paraId="5202546C" w14:textId="77777777" w:rsidR="006117DE" w:rsidRPr="006117DE" w:rsidRDefault="006117DE" w:rsidP="003B01C1">
      <w:pPr>
        <w:keepNext/>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The Under-secretary of the Ministry for Justice and Islamic Affairs shall implement the provisions of this Decision, and it shall come into force from the day following the date of its publication in the Official Gazette. </w:t>
      </w:r>
    </w:p>
    <w:p w14:paraId="3E6D8F66" w14:textId="77777777" w:rsidR="006117DE" w:rsidRPr="006117DE" w:rsidRDefault="006117DE" w:rsidP="003B01C1">
      <w:pPr>
        <w:spacing w:after="0" w:line="360" w:lineRule="auto"/>
        <w:jc w:val="right"/>
        <w:rPr>
          <w:rFonts w:ascii="Arial" w:eastAsia="Times New Roman" w:hAnsi="Arial" w:cs="Arial"/>
          <w:sz w:val="28"/>
          <w:szCs w:val="28"/>
          <w:lang w:val="en-US" w:eastAsia="fr-FR"/>
        </w:rPr>
      </w:pPr>
      <w:r w:rsidRPr="006117DE">
        <w:rPr>
          <w:rFonts w:ascii="Arial" w:eastAsia="Times New Roman" w:hAnsi="Arial" w:cs="Arial"/>
          <w:b/>
          <w:bCs/>
          <w:sz w:val="28"/>
          <w:szCs w:val="28"/>
        </w:rPr>
        <w:t>Minister of Justice, Islamic Affairs and Waqf </w:t>
      </w:r>
    </w:p>
    <w:p w14:paraId="0C22FF92" w14:textId="77777777" w:rsidR="006117DE" w:rsidRPr="006117DE" w:rsidRDefault="006117DE" w:rsidP="003B01C1">
      <w:pPr>
        <w:spacing w:after="0" w:line="360" w:lineRule="auto"/>
        <w:jc w:val="right"/>
        <w:rPr>
          <w:rFonts w:ascii="Arial" w:eastAsia="Times New Roman" w:hAnsi="Arial" w:cs="Arial"/>
          <w:sz w:val="28"/>
          <w:szCs w:val="28"/>
          <w:lang w:val="en-US" w:eastAsia="fr-FR"/>
        </w:rPr>
      </w:pPr>
      <w:r w:rsidRPr="006117DE">
        <w:rPr>
          <w:rFonts w:ascii="Arial" w:eastAsia="Times New Roman" w:hAnsi="Arial" w:cs="Arial"/>
          <w:b/>
          <w:bCs/>
          <w:sz w:val="28"/>
          <w:szCs w:val="28"/>
        </w:rPr>
        <w:t>Nawaf bin Mohammed Al-Maawda </w:t>
      </w:r>
    </w:p>
    <w:p w14:paraId="35B32A67" w14:textId="77777777" w:rsidR="006117DE" w:rsidRPr="006117DE" w:rsidRDefault="006117DE" w:rsidP="003B01C1">
      <w:pPr>
        <w:spacing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Issued on: 10 Shaaban 1444 A.H. </w:t>
      </w:r>
    </w:p>
    <w:p w14:paraId="356E8B42" w14:textId="77777777" w:rsidR="006117DE" w:rsidRPr="006117DE" w:rsidRDefault="006117DE" w:rsidP="003B01C1">
      <w:pPr>
        <w:spacing w:after="0" w:line="360" w:lineRule="auto"/>
        <w:rPr>
          <w:rFonts w:ascii="Arial" w:hAnsi="Arial" w:cs="Arial"/>
          <w:sz w:val="28"/>
          <w:szCs w:val="28"/>
        </w:rPr>
      </w:pPr>
      <w:r w:rsidRPr="006117DE">
        <w:rPr>
          <w:rFonts w:ascii="Arial" w:eastAsia="Times New Roman" w:hAnsi="Arial" w:cs="Arial"/>
          <w:sz w:val="28"/>
          <w:szCs w:val="28"/>
        </w:rPr>
        <w:t>Corresponding to: 2 March 2023</w:t>
      </w:r>
    </w:p>
    <w:sectPr w:rsidR="006117DE" w:rsidRPr="006117DE" w:rsidSect="003B01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F257B" w14:textId="77777777" w:rsidR="006117DE" w:rsidRDefault="006117DE">
      <w:pPr>
        <w:spacing w:after="0" w:line="240" w:lineRule="auto"/>
      </w:pPr>
      <w:r>
        <w:separator/>
      </w:r>
    </w:p>
  </w:endnote>
  <w:endnote w:type="continuationSeparator" w:id="0">
    <w:p w14:paraId="5BD66B73" w14:textId="77777777" w:rsidR="006117DE" w:rsidRDefault="0061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4F4FD" w14:textId="77777777" w:rsidR="006117DE" w:rsidRDefault="006117DE">
      <w:pPr>
        <w:spacing w:after="0" w:line="240" w:lineRule="auto"/>
      </w:pPr>
      <w:r>
        <w:separator/>
      </w:r>
    </w:p>
  </w:footnote>
  <w:footnote w:type="continuationSeparator" w:id="0">
    <w:p w14:paraId="219CB8BE" w14:textId="77777777" w:rsidR="006117DE" w:rsidRDefault="006117DE">
      <w:pPr>
        <w:spacing w:after="0" w:line="240" w:lineRule="auto"/>
      </w:pPr>
      <w:r>
        <w:continuationSeparator/>
      </w:r>
    </w:p>
  </w:footnote>
  <w:footnote w:id="1">
    <w:p w14:paraId="1AFF10EA" w14:textId="77777777" w:rsidR="006117DE" w:rsidRDefault="006117DE">
      <w:pPr>
        <w:pStyle w:val="FootnoteText"/>
        <w:rPr>
          <w:lang w:val="en-US"/>
        </w:rPr>
      </w:pPr>
      <w:r>
        <w:rPr>
          <w:rStyle w:val="FootnoteReference"/>
        </w:rPr>
        <w:footnoteRef/>
      </w:r>
      <w:r>
        <w:t xml:space="preserve"> 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4B"/>
    <w:rsid w:val="001C644B"/>
    <w:rsid w:val="003B01C1"/>
    <w:rsid w:val="006117DE"/>
    <w:rsid w:val="00946FD6"/>
    <w:rsid w:val="00BD6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D3641"/>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noProof w:val="0"/>
      <w:color w:val="365F91" w:themeColor="accent1" w:themeShade="BF"/>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noProof w:val="0"/>
      <w:color w:val="365F91" w:themeColor="accent1" w:themeShade="BF"/>
      <w:sz w:val="26"/>
      <w:szCs w:val="26"/>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noProof w:val="0"/>
      <w:color w:val="243F60"/>
      <w:sz w:val="24"/>
      <w:szCs w:val="24"/>
      <w:lang w:val="en-GB"/>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noProof w:val="0"/>
      <w:color w:val="365F91" w:themeColor="accent1" w:themeShade="BF"/>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noProof w:val="0"/>
      <w:color w:val="365F91" w:themeColor="accent1" w:themeShade="BF"/>
      <w:lang w:val="en-GB"/>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noProof w:val="0"/>
      <w:color w:val="243F60"/>
      <w:lang w:val="en-GB"/>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noProof w:val="0"/>
      <w:color w:val="243F60"/>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noProof w:val="0"/>
      <w:color w:val="272727"/>
      <w:sz w:val="21"/>
      <w:szCs w:val="21"/>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noProof w:val="0"/>
      <w:color w:val="272727"/>
      <w:sz w:val="21"/>
      <w:szCs w:val="21"/>
      <w:lang w:val="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locked/>
    <w:rPr>
      <w:noProof w:val="0"/>
      <w:sz w:val="20"/>
      <w:szCs w:val="20"/>
      <w:lang w:val="en-GB"/>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locked/>
    <w:rPr>
      <w:noProof w:val="0"/>
      <w:lang w:val="en-GB"/>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locked/>
    <w:rPr>
      <w:noProof w:val="0"/>
      <w:lang w:val="en-GB"/>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locked/>
    <w:rPr>
      <w:noProof w:val="0"/>
      <w:sz w:val="20"/>
      <w:szCs w:val="20"/>
      <w:lang w:val="en-GB"/>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noProof w:val="0"/>
      <w:sz w:val="56"/>
      <w:szCs w:val="56"/>
      <w:lang w:val="en-GB"/>
    </w:rPr>
  </w:style>
  <w:style w:type="paragraph" w:styleId="Subtitle">
    <w:name w:val="Subtitle"/>
    <w:basedOn w:val="Normal"/>
    <w:next w:val="Normal"/>
    <w:link w:val="SubtitleChar"/>
    <w:uiPriority w:val="11"/>
    <w:qFormat/>
    <w:rPr>
      <w:rFonts w:eastAsiaTheme="minorEastAsia"/>
      <w:color w:val="5A5A5A"/>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noProof w:val="0"/>
      <w:color w:val="5A5A5A"/>
      <w:lang w:val="en-GB"/>
    </w:rPr>
  </w:style>
  <w:style w:type="paragraph" w:styleId="Revision">
    <w:name w:val="Revision"/>
    <w:uiPriority w:val="99"/>
    <w:semiHidden/>
    <w:rPr>
      <w:sz w:val="22"/>
      <w:szCs w:val="22"/>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locked/>
    <w:rPr>
      <w:i/>
      <w:iCs/>
      <w:noProof w:val="0"/>
      <w:color w:val="404040" w:themeColor="text1" w:themeTint="BF"/>
      <w:lang w:val="en-GB"/>
    </w:rPr>
  </w:style>
  <w:style w:type="paragraph" w:styleId="IntenseQuote">
    <w:name w:val="Intense Quote"/>
    <w:basedOn w:val="Normal"/>
    <w:next w:val="Normal"/>
    <w:link w:val="IntenseQuoteChar"/>
    <w:uiPriority w:val="30"/>
    <w:qFormat/>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Pr>
      <w:i/>
      <w:iCs/>
      <w:noProof w:val="0"/>
      <w:color w:val="4F81BD" w:themeColor="accent1"/>
      <w:lang w:val="en-GB"/>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3</cp:revision>
  <dcterms:created xsi:type="dcterms:W3CDTF">2024-05-14T10:06:00Z</dcterms:created>
  <dcterms:modified xsi:type="dcterms:W3CDTF">2024-05-14T16:03:00Z</dcterms:modified>
</cp:coreProperties>
</file>