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39367" w14:textId="77777777" w:rsidR="008C1812" w:rsidRPr="008C1812" w:rsidRDefault="008C1812" w:rsidP="00DE2AC2">
      <w:pPr>
        <w:spacing w:before="120" w:after="0" w:line="360" w:lineRule="auto"/>
        <w:rPr>
          <w:rFonts w:ascii="Arial" w:eastAsia="Times New Roman" w:hAnsi="Arial" w:cs="Arial"/>
          <w:b/>
          <w:bCs/>
          <w:sz w:val="28"/>
          <w:szCs w:val="28"/>
          <w:lang w:val="en-GB"/>
        </w:rPr>
      </w:pPr>
      <w:r w:rsidRPr="008C181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0A8164" w14:textId="77777777" w:rsidR="008C1812" w:rsidRPr="008C1812" w:rsidRDefault="008C1812" w:rsidP="00DE2AC2">
      <w:pPr>
        <w:spacing w:before="120" w:after="0" w:line="360" w:lineRule="auto"/>
        <w:rPr>
          <w:rFonts w:ascii="Arial" w:eastAsia="Times New Roman" w:hAnsi="Arial" w:cs="Arial"/>
          <w:b/>
          <w:bCs/>
          <w:sz w:val="28"/>
          <w:szCs w:val="28"/>
          <w:lang w:val="en-GB"/>
        </w:rPr>
      </w:pPr>
      <w:r w:rsidRPr="008C1812">
        <w:rPr>
          <w:rFonts w:ascii="Arial" w:eastAsia="Times New Roman" w:hAnsi="Arial" w:cs="Arial"/>
          <w:b/>
          <w:bCs/>
          <w:sz w:val="28"/>
          <w:szCs w:val="28"/>
          <w:lang w:val="en-GB"/>
        </w:rPr>
        <w:t>For any corrections, remarks, or suggestions, kindly contact us on translate@lloc.gov.bh</w:t>
      </w:r>
    </w:p>
    <w:p w14:paraId="2912A68B" w14:textId="77777777" w:rsidR="008C1812" w:rsidRPr="008C1812" w:rsidRDefault="008C1812" w:rsidP="00DE2AC2">
      <w:pPr>
        <w:spacing w:before="120" w:after="0" w:line="360" w:lineRule="auto"/>
        <w:rPr>
          <w:rFonts w:ascii="Arial" w:eastAsia="Times New Roman" w:hAnsi="Arial" w:cs="Arial"/>
          <w:b/>
          <w:bCs/>
          <w:sz w:val="28"/>
          <w:szCs w:val="28"/>
          <w:lang w:val="en-GB"/>
        </w:rPr>
      </w:pPr>
      <w:r w:rsidRPr="008C1812">
        <w:rPr>
          <w:rFonts w:ascii="Arial" w:eastAsia="Times New Roman" w:hAnsi="Arial" w:cs="Arial"/>
          <w:b/>
          <w:bCs/>
          <w:sz w:val="28"/>
          <w:szCs w:val="28"/>
          <w:lang w:val="en-GB"/>
        </w:rPr>
        <w:t>Published on the website on May 2024</w:t>
      </w:r>
      <w:r w:rsidRPr="008C1812">
        <w:rPr>
          <w:rFonts w:ascii="Arial" w:eastAsia="Times New Roman" w:hAnsi="Arial" w:cs="Arial"/>
          <w:b/>
          <w:bCs/>
          <w:sz w:val="28"/>
          <w:szCs w:val="28"/>
          <w:lang w:val="en-GB"/>
        </w:rPr>
        <w:br w:type="page"/>
      </w:r>
    </w:p>
    <w:p w14:paraId="4B8BF01F"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lastRenderedPageBreak/>
        <w:t>Amendment to the Constitution of the Kingdom of Bahrain promulgated in 2018 </w:t>
      </w:r>
    </w:p>
    <w:p w14:paraId="5287B5FE"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br w:type="page"/>
      </w:r>
    </w:p>
    <w:p w14:paraId="3B5DBE38"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We, Hamad bin Isa Al Khalifa King of the Kingdom of Bahrain. </w:t>
      </w:r>
    </w:p>
    <w:p w14:paraId="1657483B"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Having reviewed the Constitution; </w:t>
      </w:r>
    </w:p>
    <w:p w14:paraId="2D7AC9C4"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Shura Council and Council of Representatives have approved the following constitutional amendment, which we have ratified and enacted: </w:t>
      </w:r>
    </w:p>
    <w:p w14:paraId="5A9B1EDF"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Article One </w:t>
      </w:r>
    </w:p>
    <w:p w14:paraId="0BFC3379"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Article (91) of the Constitution shall be replaced with the following text: </w:t>
      </w:r>
    </w:p>
    <w:p w14:paraId="654F4FFE"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"Each member of the Shura Council or the Council of Representatives shall have the right to address written questions to the Ministers to seek clarification on matters falling within their competencies. The questioner from the members of the Council of Representatives alone shall have the right to comment once on the answer, and if the Minister adds something new, the member's right to respond shall be renewed. Answers to questions from members of the Shura Council shall only be in writing. </w:t>
      </w:r>
    </w:p>
    <w:p w14:paraId="2EBCB577"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Each member of the Council of Representatives shall have the right to address written questions to those not mentioned in the preceding paragraph of the Council of Ministers to seek clarification on matters falling within their competencies, excluding others. Answers shall only be in writing. </w:t>
      </w:r>
    </w:p>
    <w:p w14:paraId="188A692E"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question shall not be related to the private interest of the questioner or his relatives up to the fourth degree, or to any of his clients”. </w:t>
      </w:r>
    </w:p>
    <w:p w14:paraId="10F1C01D"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Article Two </w:t>
      </w:r>
    </w:p>
    <w:p w14:paraId="2563C711"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This constitutional amendment shall be published in the Official Gazette, and shall come into effect from the date of its publication. </w:t>
      </w:r>
    </w:p>
    <w:p w14:paraId="7FD8A94B"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King of Kingdom of Bahrain </w:t>
      </w:r>
    </w:p>
    <w:p w14:paraId="35E3A572"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Hamad bin Isa Al Khalifa </w:t>
      </w:r>
    </w:p>
    <w:p w14:paraId="794EE259"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issued at Riffa Palace: </w:t>
      </w:r>
    </w:p>
    <w:p w14:paraId="624E6BAA"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On: 12 Safar 1440 A.H. </w:t>
      </w:r>
    </w:p>
    <w:p w14:paraId="758531FF"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Corresponding to: 21 October 2018 </w:t>
      </w:r>
    </w:p>
    <w:p w14:paraId="11DBEA4B"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Explanatory Memorandum </w:t>
      </w:r>
    </w:p>
    <w:p w14:paraId="3CB7ED07"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Amending Article (91) of the Constitution of the Kingdom of Bahrain </w:t>
      </w:r>
    </w:p>
    <w:p w14:paraId="770CFEB4"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b/>
          <w:bCs/>
          <w:sz w:val="28"/>
          <w:szCs w:val="28"/>
          <w:lang w:val="en-GB"/>
        </w:rPr>
        <w:t>Promulgated in 2018 </w:t>
      </w:r>
    </w:p>
    <w:p w14:paraId="48944570"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amendment to the Constitution of the Kingdom of Bahrain included replacing the text of Article (91) with a new text, which shall be as follows: </w:t>
      </w:r>
    </w:p>
    <w:p w14:paraId="7B38B1E0"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“Every member of the Shura Council or the Council of Representatives may address written questions to the ministers to clarify matters within their competence, and the questioner from the members of the Council of Representatives alone shall have the right to comment once on the answer. If the minister adds something new, the member’s right to comment is renewed. Answers to questions from members of the Shura Council shall only be in writing. </w:t>
      </w:r>
    </w:p>
    <w:p w14:paraId="490CD68F"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Each member of the Council of Representatives shall have the right to address written questions to those not mentioned in the preceding paragraph of the Council of Ministers to seek clarification on matters falling within their competencies, excluding others. Answers shall only be in writing. </w:t>
      </w:r>
    </w:p>
    <w:p w14:paraId="0C901347"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question shall not be related to the private interest of the questioner or his relatives up to the fourth degree, or to any of his clients”. </w:t>
      </w:r>
    </w:p>
    <w:p w14:paraId="0E4050C8"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amendment to Article (91) of the Constitution of the Kingdom of Bahrain aims to enhance the oversight powers of the Council of Representatives by expanding the scope of those subject to receiving questions to include all members of the Council of Ministers, and this is done with the objective of broadening the oversight role of the Council of Representatives and creating a greater balance between the legislative and executive branches provided that questions and answers are in writing for the other members of the Council of Ministers to save effort and time while serving the interests of the nation and its citizens due to the significant responsibilities held by those affected by the amendment, to whom the questions are addressed. In all cases, the questions shall seek clarification on matters falling within their competencies, excluding others, and shall not involve any form of criticism or blame. The questions shall pertain to matters of public importance. The questioning process shall conclude with the questioning member receiving a written response and having the opportunity to provide further comments, as determined by the internal regulation of the Council of Representatives. </w:t>
      </w:r>
    </w:p>
    <w:p w14:paraId="5467AECB"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The amendment also aims to grant members of the Shura Council the right to address written questions to ministers, with the ministers' responses being provided in written form only. Practical experience has revealed an urgent need to establish this right, enabling members to fulfil their responsibilities within the constitutional framework of the Shura Council's jurisdiction, and this allows them to inquire, clarify, and seek information from any minister concerning specific matters of public importance falling under their respective ministries' responsibilities. </w:t>
      </w:r>
    </w:p>
    <w:p w14:paraId="28A98D0C"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This right granted to members of the Shura Council does not diminish the Council of Representatives' exclusive role in political oversight of the executive authority. The written format of the questions and answers ensures that there is no room for debate between the questioner and the minister. In this context, the questions shall not imply criticism, blame, or accountability, as stipulated in a specific framework determined by the internal regulation of the Shura Council. Both councils' internal regulations shall define all the detailed rules and procedures regarding the process of questioning. </w:t>
      </w:r>
    </w:p>
    <w:p w14:paraId="0B94BD09"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As it is well known, the National Action Charter has adopted the system of having two separate councils, which is considered one of the most important constants established in it. The Constitution is not allowed to reconsider this system and revert to a single council, as that would be a clear violation of the explicit provisions stated in the Fifth Chapter of the National Action Charter, as confirmed by Clause (c) of Article (120) of Section Six of the Constitution. </w:t>
      </w:r>
    </w:p>
    <w:p w14:paraId="6424B42B"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Since the National Action Charter expressly stipulated the necessity of adopting the system of having two separate councils in a manner that is compatible with democratic and constitutional developments in the world, and the organization of the existing constitution for these two councils was compatible with these developments that prevailed at the time of its drafting, this does not prevent a review of what the constitution established in terms of the organization of these two councils, in accordance with the changes that have taken place in the political, economic, and social conditions, and within the framework of the controls established by the Charter for their organization. </w:t>
      </w:r>
    </w:p>
    <w:p w14:paraId="6F20D4C6"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Whereas the amendment reinstated the right for members of the Shura Council to address written questions to ministers, the responses to questions from members of the Shura Council shall also be in written form. Similarly, the amendment granted members of the Council of Representatives the right to address written questions to members of the Council of Ministers who were not mentioned in the first paragraph of the Article in order to seek clarification on matters within their jurisdiction. This shall include addressing questions to the President of the Council and his deputies. The responses to questions from members of the Council of Representatives in this case shall only be in writing. </w:t>
      </w:r>
    </w:p>
    <w:p w14:paraId="598F9322"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It is established when interpreting constitutional texts to consider them as a unified unit, where each text complements the others, and no provision shall be interpreted in isolation from other provisions, but rather its interpretation shall be consistent and aligned with other provisions to avoid contradictions. Constitutional texts do not conflict, contradict, or oppose each other; instead, they harmonize within the framework of organic unity, achieved by reconciling all their provisions. Therefore, it shall not be permissible to interpret constitutional texts in a way that deviates from their ultimate objectives, nor shall they be viewed as floating in a vacuum. Instead, they must be regarded as a unified unit, where each part complements the other. </w:t>
      </w:r>
    </w:p>
    <w:p w14:paraId="740C6C12" w14:textId="77777777" w:rsidR="008C1812" w:rsidRPr="008C1812" w:rsidRDefault="008C1812" w:rsidP="00DE2AC2">
      <w:pPr>
        <w:spacing w:before="120" w:after="0" w:line="360" w:lineRule="auto"/>
        <w:rPr>
          <w:rFonts w:ascii="Arial" w:eastAsia="Times New Roman" w:hAnsi="Arial" w:cs="Arial"/>
          <w:sz w:val="28"/>
          <w:szCs w:val="28"/>
          <w:lang w:val="en-GB"/>
        </w:rPr>
      </w:pPr>
      <w:r w:rsidRPr="008C1812">
        <w:rPr>
          <w:rFonts w:ascii="Arial" w:eastAsia="Times New Roman" w:hAnsi="Arial" w:cs="Arial"/>
          <w:sz w:val="28"/>
          <w:szCs w:val="28"/>
          <w:lang w:val="en-GB"/>
        </w:rPr>
        <w:t>And since Article (34) of the Constitution of the Kingdom of Bahrain permits the Crown Prince to be a member of the esteemed Council of Ministers, it also stipulates specific provisions that are relevant to his position as the Deputy to His Majesty the King, where he exercises his authorities in case of His Majesty's absence and heads the three authorities. Consequently, applying the provisions of Article (34), as referred to, in conjunction with the amendment allowing questions to be directed to members of the Council of Ministers necessitates the explicit exclusion of the Crown Prince from being subject to such questions in case he assumes a ministerial position or serves as a Deputy Prime Minister. This exclusion is due to the unique position he occupies, which does not permit directing any inquiries to him if he is a member of the Council of Ministers. This is because he represents the King in an official capacity at all times when His Majesty is outside the country, unless this is not possible as an exception. </w:t>
      </w:r>
    </w:p>
    <w:p w14:paraId="1B9ADDE3" w14:textId="77777777" w:rsidR="008C1812" w:rsidRPr="008C1812" w:rsidRDefault="008C1812" w:rsidP="00DE2AC2">
      <w:pPr>
        <w:spacing w:before="120" w:after="0" w:line="360" w:lineRule="auto"/>
        <w:rPr>
          <w:rFonts w:ascii="Arial" w:eastAsia="Times New Roman" w:hAnsi="Arial" w:cs="Arial"/>
          <w:b/>
          <w:bCs/>
          <w:sz w:val="28"/>
          <w:szCs w:val="28"/>
          <w:lang w:val="en-US"/>
        </w:rPr>
      </w:pPr>
    </w:p>
    <w:p w14:paraId="1F3EFDF2" w14:textId="77777777" w:rsidR="008C1812" w:rsidRPr="008C1812" w:rsidRDefault="008C1812" w:rsidP="00DE2AC2">
      <w:pPr>
        <w:spacing w:before="120" w:after="0" w:line="360" w:lineRule="auto"/>
        <w:rPr>
          <w:rFonts w:ascii="Arial" w:hAnsi="Arial" w:cs="Arial"/>
          <w:sz w:val="28"/>
          <w:szCs w:val="28"/>
          <w:lang w:val="en-US"/>
        </w:rPr>
      </w:pPr>
    </w:p>
    <w:sectPr w:rsidR="008C1812" w:rsidRPr="008C1812" w:rsidSect="00AF4D3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38DBE" w14:textId="77777777" w:rsidR="008C1812" w:rsidRDefault="008C1812">
      <w:pPr>
        <w:spacing w:after="0" w:line="240" w:lineRule="auto"/>
      </w:pPr>
      <w:r>
        <w:separator/>
      </w:r>
    </w:p>
  </w:endnote>
  <w:endnote w:type="continuationSeparator" w:id="0">
    <w:p w14:paraId="4A9D2C93" w14:textId="77777777" w:rsidR="008C1812" w:rsidRDefault="008C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2A26" w14:textId="77777777" w:rsidR="008C1812" w:rsidRDefault="008C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BEEB7" w14:textId="77777777" w:rsidR="008C1812" w:rsidRDefault="008C1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EC184" w14:textId="77777777" w:rsidR="008C1812" w:rsidRDefault="008C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84322" w14:textId="77777777" w:rsidR="008C1812" w:rsidRDefault="008C1812">
      <w:pPr>
        <w:spacing w:after="0" w:line="240" w:lineRule="auto"/>
      </w:pPr>
      <w:r>
        <w:separator/>
      </w:r>
    </w:p>
  </w:footnote>
  <w:footnote w:type="continuationSeparator" w:id="0">
    <w:p w14:paraId="1AB92CC1" w14:textId="77777777" w:rsidR="008C1812" w:rsidRDefault="008C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CE07C" w14:textId="77777777" w:rsidR="008C1812" w:rsidRDefault="008C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E308" w14:textId="77777777" w:rsidR="008C1812" w:rsidRDefault="008C1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A3A3" w14:textId="77777777" w:rsidR="008C1812" w:rsidRDefault="008C1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2A"/>
    <w:rsid w:val="000129C5"/>
    <w:rsid w:val="00815AD9"/>
    <w:rsid w:val="008C1812"/>
    <w:rsid w:val="0095002A"/>
    <w:rsid w:val="00AF4D3F"/>
    <w:rsid w:val="00DA6ABB"/>
    <w:rsid w:val="00DE2A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A8FC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