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957E4" w14:textId="77777777" w:rsidR="00AE6280" w:rsidRPr="00AE6280" w:rsidRDefault="00AE6280" w:rsidP="00F01149">
      <w:pPr>
        <w:spacing w:before="120" w:after="0" w:line="360" w:lineRule="auto"/>
        <w:rPr>
          <w:rFonts w:ascii="Arial" w:eastAsia="Times New Roman" w:hAnsi="Arial" w:cs="Arial"/>
          <w:b/>
          <w:bCs/>
          <w:sz w:val="28"/>
          <w:szCs w:val="28"/>
          <w:lang w:val="en-GB"/>
        </w:rPr>
      </w:pPr>
      <w:r w:rsidRPr="00AE6280">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17D82BE" w14:textId="77777777" w:rsidR="00AE6280" w:rsidRPr="00AE6280" w:rsidRDefault="00AE6280" w:rsidP="00F01149">
      <w:pPr>
        <w:spacing w:before="120" w:after="0" w:line="360" w:lineRule="auto"/>
        <w:rPr>
          <w:rFonts w:ascii="Arial" w:eastAsia="Times New Roman" w:hAnsi="Arial" w:cs="Arial"/>
          <w:b/>
          <w:bCs/>
          <w:sz w:val="28"/>
          <w:szCs w:val="28"/>
          <w:lang w:val="en-GB"/>
        </w:rPr>
      </w:pPr>
      <w:r w:rsidRPr="00AE6280">
        <w:rPr>
          <w:rFonts w:ascii="Arial" w:eastAsia="Times New Roman" w:hAnsi="Arial" w:cs="Arial"/>
          <w:b/>
          <w:bCs/>
          <w:sz w:val="28"/>
          <w:szCs w:val="28"/>
          <w:lang w:val="en-GB"/>
        </w:rPr>
        <w:t>For any corrections, remarks, or suggestions, kindly contact us on translate@lloc.gov.bh</w:t>
      </w:r>
    </w:p>
    <w:p w14:paraId="570DA6B6" w14:textId="77777777" w:rsidR="00AE6280" w:rsidRPr="00AE6280" w:rsidRDefault="00AE6280" w:rsidP="00F01149">
      <w:pPr>
        <w:spacing w:before="120" w:after="0" w:line="360" w:lineRule="auto"/>
        <w:rPr>
          <w:rFonts w:ascii="Arial" w:eastAsia="Times New Roman" w:hAnsi="Arial" w:cs="Arial"/>
          <w:b/>
          <w:bCs/>
          <w:sz w:val="28"/>
          <w:szCs w:val="28"/>
          <w:lang w:val="en-GB"/>
        </w:rPr>
      </w:pPr>
      <w:r w:rsidRPr="00AE6280">
        <w:rPr>
          <w:rFonts w:ascii="Arial" w:eastAsia="Times New Roman" w:hAnsi="Arial" w:cs="Arial"/>
          <w:b/>
          <w:bCs/>
          <w:sz w:val="28"/>
          <w:szCs w:val="28"/>
          <w:lang w:val="en-GB"/>
        </w:rPr>
        <w:t>Published on the website on May 2024</w:t>
      </w:r>
      <w:r w:rsidRPr="00AE6280">
        <w:rPr>
          <w:rFonts w:ascii="Arial" w:eastAsia="Times New Roman" w:hAnsi="Arial" w:cs="Arial"/>
          <w:b/>
          <w:bCs/>
          <w:sz w:val="28"/>
          <w:szCs w:val="28"/>
          <w:lang w:val="en-GB"/>
        </w:rPr>
        <w:br w:type="page"/>
      </w:r>
    </w:p>
    <w:p w14:paraId="41C17F57" w14:textId="77777777" w:rsidR="00AE6280" w:rsidRPr="00AE6280" w:rsidRDefault="00AE6280" w:rsidP="00F01149">
      <w:pPr>
        <w:spacing w:before="120" w:after="0" w:line="360" w:lineRule="auto"/>
        <w:rPr>
          <w:rFonts w:ascii="Arial" w:eastAsia="Times New Roman" w:hAnsi="Arial" w:cs="Arial"/>
          <w:sz w:val="28"/>
          <w:szCs w:val="28"/>
          <w:lang w:val="en-GB"/>
        </w:rPr>
      </w:pPr>
      <w:r w:rsidRPr="00AE6280">
        <w:rPr>
          <w:rFonts w:ascii="Arial" w:eastAsia="Times New Roman" w:hAnsi="Arial" w:cs="Arial"/>
          <w:b/>
          <w:bCs/>
          <w:sz w:val="28"/>
          <w:szCs w:val="28"/>
          <w:lang w:val="en-GB"/>
        </w:rPr>
        <w:lastRenderedPageBreak/>
        <w:t>The Constitutional Court </w:t>
      </w:r>
    </w:p>
    <w:p w14:paraId="373F03AC" w14:textId="77777777" w:rsidR="00AE6280" w:rsidRPr="00AE6280" w:rsidRDefault="00AE6280" w:rsidP="00F01149">
      <w:pPr>
        <w:spacing w:before="120" w:after="0" w:line="360" w:lineRule="auto"/>
        <w:rPr>
          <w:rFonts w:ascii="Arial" w:eastAsia="Times New Roman" w:hAnsi="Arial" w:cs="Arial"/>
          <w:sz w:val="28"/>
          <w:szCs w:val="28"/>
          <w:lang w:val="en-GB"/>
        </w:rPr>
      </w:pPr>
      <w:r w:rsidRPr="00AE6280">
        <w:rPr>
          <w:rFonts w:ascii="Arial" w:eastAsia="Times New Roman" w:hAnsi="Arial" w:cs="Arial"/>
          <w:b/>
          <w:bCs/>
          <w:sz w:val="28"/>
          <w:szCs w:val="28"/>
          <w:lang w:val="en-GB"/>
        </w:rPr>
        <w:t>Decision No. (13) of 2017 amending certain provisions of the Human Resources for the Constitutional Court Regulation promulgated by Decision No. (22) of 2016 </w:t>
      </w:r>
    </w:p>
    <w:p w14:paraId="077CB9E0" w14:textId="77777777" w:rsidR="00AE6280" w:rsidRPr="00AE6280" w:rsidRDefault="00AE6280" w:rsidP="00F01149">
      <w:pPr>
        <w:spacing w:before="120" w:after="0" w:line="360" w:lineRule="auto"/>
        <w:rPr>
          <w:rFonts w:ascii="Arial" w:eastAsia="Times New Roman" w:hAnsi="Arial" w:cs="Arial"/>
          <w:sz w:val="28"/>
          <w:szCs w:val="28"/>
          <w:lang w:val="en-GB"/>
        </w:rPr>
      </w:pPr>
      <w:r w:rsidRPr="00AE6280">
        <w:rPr>
          <w:rFonts w:ascii="Arial" w:eastAsia="Times New Roman" w:hAnsi="Arial" w:cs="Arial"/>
          <w:sz w:val="28"/>
          <w:szCs w:val="28"/>
          <w:lang w:val="en-GB"/>
        </w:rPr>
        <w:br w:type="page"/>
      </w:r>
    </w:p>
    <w:p w14:paraId="56F3786D" w14:textId="77777777" w:rsidR="00AE6280" w:rsidRPr="00AE6280" w:rsidRDefault="00AE6280" w:rsidP="00F01149">
      <w:pPr>
        <w:spacing w:before="120" w:after="0" w:line="360" w:lineRule="auto"/>
        <w:rPr>
          <w:rFonts w:ascii="Arial" w:eastAsia="Times New Roman" w:hAnsi="Arial" w:cs="Arial"/>
          <w:sz w:val="28"/>
          <w:szCs w:val="28"/>
          <w:lang w:val="en-GB"/>
        </w:rPr>
      </w:pPr>
      <w:r w:rsidRPr="00AE6280">
        <w:rPr>
          <w:rFonts w:ascii="Arial" w:eastAsia="Times New Roman" w:hAnsi="Arial" w:cs="Arial"/>
          <w:sz w:val="28"/>
          <w:szCs w:val="28"/>
          <w:lang w:val="en-GB"/>
        </w:rPr>
        <w:t>President of the Constitutional Court: </w:t>
      </w:r>
    </w:p>
    <w:p w14:paraId="555FD453" w14:textId="77777777" w:rsidR="00AE6280" w:rsidRPr="00AE6280" w:rsidRDefault="00AE6280" w:rsidP="00F01149">
      <w:pPr>
        <w:spacing w:before="120" w:after="0" w:line="360" w:lineRule="auto"/>
        <w:rPr>
          <w:rFonts w:ascii="Arial" w:eastAsia="Times New Roman" w:hAnsi="Arial" w:cs="Arial"/>
          <w:sz w:val="28"/>
          <w:szCs w:val="28"/>
          <w:lang w:val="en-GB"/>
        </w:rPr>
      </w:pPr>
      <w:r w:rsidRPr="00AE6280">
        <w:rPr>
          <w:rFonts w:ascii="Arial" w:eastAsia="Times New Roman" w:hAnsi="Arial" w:cs="Arial"/>
          <w:sz w:val="28"/>
          <w:szCs w:val="28"/>
          <w:lang w:val="en-GB"/>
        </w:rPr>
        <w:t>Having reviewed Legislative Decree No. (27) of 2002 regarding the Establishment of the Constitutional Court, as amended by Legislative Decree No. (38) of 2012; </w:t>
      </w:r>
    </w:p>
    <w:p w14:paraId="58614F1D" w14:textId="77777777" w:rsidR="00AE6280" w:rsidRPr="00AE6280" w:rsidRDefault="00AE6280" w:rsidP="00F01149">
      <w:pPr>
        <w:spacing w:before="120" w:after="0" w:line="360" w:lineRule="auto"/>
        <w:rPr>
          <w:rFonts w:ascii="Arial" w:eastAsia="Times New Roman" w:hAnsi="Arial" w:cs="Arial"/>
          <w:sz w:val="28"/>
          <w:szCs w:val="28"/>
          <w:lang w:val="en-GB"/>
        </w:rPr>
      </w:pPr>
      <w:r w:rsidRPr="00AE6280">
        <w:rPr>
          <w:rFonts w:ascii="Arial" w:eastAsia="Times New Roman" w:hAnsi="Arial" w:cs="Arial"/>
          <w:sz w:val="28"/>
          <w:szCs w:val="28"/>
          <w:lang w:val="en-GB"/>
        </w:rPr>
        <w:t>Civil Service Law promulgated by Legislative Decree No. (48) of 2010, amended by Law No. (69) of 2014, and its Implementing Regulation promulgated by Decision No. (51) of 2012, as amended; </w:t>
      </w:r>
    </w:p>
    <w:p w14:paraId="2824F902" w14:textId="77777777" w:rsidR="00AE6280" w:rsidRPr="00AE6280" w:rsidRDefault="00AE6280" w:rsidP="00F01149">
      <w:pPr>
        <w:spacing w:before="120" w:after="0" w:line="360" w:lineRule="auto"/>
        <w:rPr>
          <w:rFonts w:ascii="Arial" w:eastAsia="Times New Roman" w:hAnsi="Arial" w:cs="Arial"/>
          <w:sz w:val="28"/>
          <w:szCs w:val="28"/>
          <w:lang w:val="en-GB"/>
        </w:rPr>
      </w:pPr>
      <w:r w:rsidRPr="00AE6280">
        <w:rPr>
          <w:rFonts w:ascii="Arial" w:eastAsia="Times New Roman" w:hAnsi="Arial" w:cs="Arial"/>
          <w:sz w:val="28"/>
          <w:szCs w:val="28"/>
          <w:lang w:val="en-GB"/>
        </w:rPr>
        <w:t>And the Human Resources for the Constitutional Court Regulation promulgated by Decision No. (22) of 2016, as amended by Decision No. (4) of 2017; </w:t>
      </w:r>
    </w:p>
    <w:p w14:paraId="2D7183AA" w14:textId="77777777" w:rsidR="00AE6280" w:rsidRPr="00AE6280" w:rsidRDefault="00AE6280" w:rsidP="00F01149">
      <w:pPr>
        <w:spacing w:before="120" w:after="0" w:line="360" w:lineRule="auto"/>
        <w:rPr>
          <w:rFonts w:ascii="Arial" w:eastAsia="Times New Roman" w:hAnsi="Arial" w:cs="Arial"/>
          <w:sz w:val="28"/>
          <w:szCs w:val="28"/>
          <w:lang w:val="en-GB"/>
        </w:rPr>
      </w:pPr>
      <w:r w:rsidRPr="00AE6280">
        <w:rPr>
          <w:rFonts w:ascii="Arial" w:eastAsia="Times New Roman" w:hAnsi="Arial" w:cs="Arial"/>
          <w:sz w:val="28"/>
          <w:szCs w:val="28"/>
          <w:lang w:val="en-GB"/>
        </w:rPr>
        <w:t>And upon the submission of the Secretary-General; </w:t>
      </w:r>
    </w:p>
    <w:p w14:paraId="76D4E499" w14:textId="77777777" w:rsidR="00AE6280" w:rsidRPr="00AE6280" w:rsidRDefault="00AE6280" w:rsidP="00F01149">
      <w:pPr>
        <w:spacing w:before="120" w:after="0" w:line="360" w:lineRule="auto"/>
        <w:rPr>
          <w:rFonts w:ascii="Arial" w:eastAsia="Times New Roman" w:hAnsi="Arial" w:cs="Arial"/>
          <w:sz w:val="28"/>
          <w:szCs w:val="28"/>
          <w:lang w:val="en-GB"/>
        </w:rPr>
      </w:pPr>
      <w:r w:rsidRPr="00AE6280">
        <w:rPr>
          <w:rFonts w:ascii="Arial" w:eastAsia="Times New Roman" w:hAnsi="Arial" w:cs="Arial"/>
          <w:b/>
          <w:bCs/>
          <w:sz w:val="28"/>
          <w:szCs w:val="28"/>
          <w:lang w:val="en-GB"/>
        </w:rPr>
        <w:t>Hereby Decides: </w:t>
      </w:r>
    </w:p>
    <w:p w14:paraId="6052CB99" w14:textId="77777777" w:rsidR="00AE6280" w:rsidRPr="00AE6280" w:rsidRDefault="00AE6280" w:rsidP="00F01149">
      <w:pPr>
        <w:spacing w:before="120" w:after="0" w:line="360" w:lineRule="auto"/>
        <w:rPr>
          <w:rFonts w:ascii="Arial" w:eastAsia="Times New Roman" w:hAnsi="Arial" w:cs="Arial"/>
          <w:sz w:val="28"/>
          <w:szCs w:val="28"/>
          <w:lang w:val="en-GB"/>
        </w:rPr>
      </w:pPr>
      <w:r w:rsidRPr="00AE6280">
        <w:rPr>
          <w:rFonts w:ascii="Arial" w:eastAsia="Times New Roman" w:hAnsi="Arial" w:cs="Arial"/>
          <w:b/>
          <w:bCs/>
          <w:sz w:val="28"/>
          <w:szCs w:val="28"/>
          <w:lang w:val="en-GB"/>
        </w:rPr>
        <w:t>Article One </w:t>
      </w:r>
    </w:p>
    <w:p w14:paraId="63599CE6" w14:textId="77777777" w:rsidR="00AE6280" w:rsidRPr="00AE6280" w:rsidRDefault="00AE6280" w:rsidP="00F01149">
      <w:pPr>
        <w:spacing w:before="120" w:after="0" w:line="360" w:lineRule="auto"/>
        <w:rPr>
          <w:rFonts w:ascii="Arial" w:eastAsia="Times New Roman" w:hAnsi="Arial" w:cs="Arial"/>
          <w:sz w:val="28"/>
          <w:szCs w:val="28"/>
          <w:lang w:val="en-GB"/>
        </w:rPr>
      </w:pPr>
      <w:r w:rsidRPr="00AE6280">
        <w:rPr>
          <w:rFonts w:ascii="Arial" w:eastAsia="Times New Roman" w:hAnsi="Arial" w:cs="Arial"/>
          <w:sz w:val="28"/>
          <w:szCs w:val="28"/>
          <w:lang w:val="en-GB"/>
        </w:rPr>
        <w:t>The first Paragraph of Article (4), and the first Paragraph of Article (81) and Article (144) of the Human Resources Regulations promulgated by Decision No. (22) of 2016, shall be replaced with the following texts: </w:t>
      </w:r>
    </w:p>
    <w:p w14:paraId="7FE5081B" w14:textId="77777777" w:rsidR="00AE6280" w:rsidRPr="00AE6280" w:rsidRDefault="00AE6280" w:rsidP="00F01149">
      <w:pPr>
        <w:spacing w:before="120" w:after="0" w:line="360" w:lineRule="auto"/>
        <w:rPr>
          <w:rFonts w:ascii="Arial" w:eastAsia="Times New Roman" w:hAnsi="Arial" w:cs="Arial"/>
          <w:sz w:val="28"/>
          <w:szCs w:val="28"/>
          <w:lang w:val="en-GB"/>
        </w:rPr>
      </w:pPr>
      <w:r w:rsidRPr="00AE6280">
        <w:rPr>
          <w:rFonts w:ascii="Arial" w:eastAsia="Times New Roman" w:hAnsi="Arial" w:cs="Arial"/>
          <w:b/>
          <w:bCs/>
          <w:sz w:val="28"/>
          <w:szCs w:val="28"/>
          <w:lang w:val="en-GB"/>
        </w:rPr>
        <w:t>Article (4) Paragraph One: </w:t>
      </w:r>
    </w:p>
    <w:p w14:paraId="1074EADF" w14:textId="77777777" w:rsidR="00AE6280" w:rsidRPr="00AE6280" w:rsidRDefault="00AE6280" w:rsidP="00F01149">
      <w:pPr>
        <w:spacing w:before="120" w:after="0" w:line="360" w:lineRule="auto"/>
        <w:rPr>
          <w:rFonts w:ascii="Arial" w:eastAsia="Times New Roman" w:hAnsi="Arial" w:cs="Arial"/>
          <w:sz w:val="28"/>
          <w:szCs w:val="28"/>
          <w:lang w:val="en-GB"/>
        </w:rPr>
      </w:pPr>
      <w:r w:rsidRPr="00AE6280">
        <w:rPr>
          <w:rFonts w:ascii="Arial" w:eastAsia="Times New Roman" w:hAnsi="Arial" w:cs="Arial"/>
          <w:sz w:val="28"/>
          <w:szCs w:val="28"/>
          <w:lang w:val="en-GB"/>
        </w:rPr>
        <w:t>“A committee headed by the Secretary General and the membership of the Under-Secretary General and Directors of Departments of the Constitutional Court is formed in order to review nominations for promotions, incentives and bonuses”. </w:t>
      </w:r>
    </w:p>
    <w:p w14:paraId="7063389D" w14:textId="77777777" w:rsidR="00AE6280" w:rsidRPr="00AE6280" w:rsidRDefault="00AE6280" w:rsidP="00F01149">
      <w:pPr>
        <w:spacing w:before="120" w:after="0" w:line="360" w:lineRule="auto"/>
        <w:rPr>
          <w:rFonts w:ascii="Arial" w:eastAsia="Times New Roman" w:hAnsi="Arial" w:cs="Arial"/>
          <w:sz w:val="28"/>
          <w:szCs w:val="28"/>
          <w:lang w:val="en-GB"/>
        </w:rPr>
      </w:pPr>
      <w:r w:rsidRPr="00AE6280">
        <w:rPr>
          <w:rFonts w:ascii="Arial" w:eastAsia="Times New Roman" w:hAnsi="Arial" w:cs="Arial"/>
          <w:b/>
          <w:bCs/>
          <w:sz w:val="28"/>
          <w:szCs w:val="28"/>
          <w:lang w:val="en-GB"/>
        </w:rPr>
        <w:t>Article (81) Paragraph One: </w:t>
      </w:r>
    </w:p>
    <w:p w14:paraId="297FC371" w14:textId="77777777" w:rsidR="00AE6280" w:rsidRPr="00AE6280" w:rsidRDefault="00AE6280" w:rsidP="00F01149">
      <w:pPr>
        <w:spacing w:before="120" w:after="0" w:line="360" w:lineRule="auto"/>
        <w:rPr>
          <w:rFonts w:ascii="Arial" w:eastAsia="Times New Roman" w:hAnsi="Arial" w:cs="Arial"/>
          <w:sz w:val="28"/>
          <w:szCs w:val="28"/>
          <w:lang w:val="en-GB"/>
        </w:rPr>
      </w:pPr>
      <w:r w:rsidRPr="00AE6280">
        <w:rPr>
          <w:rFonts w:ascii="Arial" w:eastAsia="Times New Roman" w:hAnsi="Arial" w:cs="Arial"/>
          <w:sz w:val="28"/>
          <w:szCs w:val="28"/>
          <w:lang w:val="en-GB"/>
        </w:rPr>
        <w:t>“It is permissible for the Civil Servant, by a decision of the President of the Court, to be promoted at the end of his service for any of the reasons stipulated in Article (147) of this Regulation, with the exception of the reasons mentioned in Paragraphs (5), (6), (7), (10) of that Article, for a period of one year prior to being referred to retirement, provided that one year has passed since he obtained the last promotion, and the financial appropriation for that is available. </w:t>
      </w:r>
    </w:p>
    <w:p w14:paraId="257988D0" w14:textId="77777777" w:rsidR="00AE6280" w:rsidRPr="00AE6280" w:rsidRDefault="00AE6280" w:rsidP="00F01149">
      <w:pPr>
        <w:spacing w:before="120" w:after="0" w:line="360" w:lineRule="auto"/>
        <w:rPr>
          <w:rFonts w:ascii="Arial" w:eastAsia="Times New Roman" w:hAnsi="Arial" w:cs="Arial"/>
          <w:sz w:val="28"/>
          <w:szCs w:val="28"/>
          <w:lang w:val="en-GB"/>
        </w:rPr>
      </w:pPr>
      <w:r w:rsidRPr="00AE6280">
        <w:rPr>
          <w:rFonts w:ascii="Arial" w:eastAsia="Times New Roman" w:hAnsi="Arial" w:cs="Arial"/>
          <w:b/>
          <w:bCs/>
          <w:sz w:val="28"/>
          <w:szCs w:val="28"/>
          <w:lang w:val="en-GB"/>
        </w:rPr>
        <w:t>Article (144): </w:t>
      </w:r>
    </w:p>
    <w:p w14:paraId="42826755" w14:textId="77777777" w:rsidR="00AE6280" w:rsidRPr="00AE6280" w:rsidRDefault="00AE6280" w:rsidP="00F01149">
      <w:pPr>
        <w:spacing w:before="120" w:after="0" w:line="360" w:lineRule="auto"/>
        <w:rPr>
          <w:rFonts w:ascii="Arial" w:eastAsia="Times New Roman" w:hAnsi="Arial" w:cs="Arial"/>
          <w:sz w:val="28"/>
          <w:szCs w:val="28"/>
          <w:lang w:val="en-GB"/>
        </w:rPr>
      </w:pPr>
      <w:r w:rsidRPr="00AE6280">
        <w:rPr>
          <w:rFonts w:ascii="Arial" w:eastAsia="Times New Roman" w:hAnsi="Arial" w:cs="Arial"/>
          <w:sz w:val="28"/>
          <w:szCs w:val="28"/>
          <w:lang w:val="en-GB"/>
        </w:rPr>
        <w:t>The Committee's deliberations are confidential, and its recommendations are issued by a majority vote and signed by the Committee Chairman, the two members and the Secretary, within fifteen working days of the date on which the grievance is entered in its file. The committee, when necessary, may extend the previous deadline to other periods, provided that the total of the periods shall not exceed sixty working days. </w:t>
      </w:r>
    </w:p>
    <w:p w14:paraId="1FC30491" w14:textId="77777777" w:rsidR="00AE6280" w:rsidRPr="00AE6280" w:rsidRDefault="00AE6280" w:rsidP="00F01149">
      <w:pPr>
        <w:spacing w:before="120" w:after="0" w:line="360" w:lineRule="auto"/>
        <w:rPr>
          <w:rFonts w:ascii="Arial" w:eastAsia="Times New Roman" w:hAnsi="Arial" w:cs="Arial"/>
          <w:sz w:val="28"/>
          <w:szCs w:val="28"/>
          <w:lang w:val="en-GB"/>
        </w:rPr>
      </w:pPr>
      <w:r w:rsidRPr="00AE6280">
        <w:rPr>
          <w:rFonts w:ascii="Arial" w:eastAsia="Times New Roman" w:hAnsi="Arial" w:cs="Arial"/>
          <w:b/>
          <w:bCs/>
          <w:sz w:val="28"/>
          <w:szCs w:val="28"/>
          <w:lang w:val="en-GB"/>
        </w:rPr>
        <w:t>Article Two </w:t>
      </w:r>
    </w:p>
    <w:p w14:paraId="1792FC9B" w14:textId="77777777" w:rsidR="00AE6280" w:rsidRPr="00AE6280" w:rsidRDefault="00AE6280" w:rsidP="00F01149">
      <w:pPr>
        <w:spacing w:before="120" w:after="0" w:line="360" w:lineRule="auto"/>
        <w:rPr>
          <w:rFonts w:ascii="Arial" w:eastAsia="Times New Roman" w:hAnsi="Arial" w:cs="Arial"/>
          <w:sz w:val="28"/>
          <w:szCs w:val="28"/>
          <w:lang w:val="en-GB"/>
        </w:rPr>
      </w:pPr>
      <w:r w:rsidRPr="00AE6280">
        <w:rPr>
          <w:rFonts w:ascii="Arial" w:eastAsia="Times New Roman" w:hAnsi="Arial" w:cs="Arial"/>
          <w:sz w:val="28"/>
          <w:szCs w:val="28"/>
          <w:lang w:val="en-GB"/>
        </w:rPr>
        <w:t>The Secretary-General shall implement this Decision, and it shall come into force from the day following the date of its publication in the Official Gazette. </w:t>
      </w:r>
    </w:p>
    <w:p w14:paraId="7CF1762F" w14:textId="77777777" w:rsidR="00AE6280" w:rsidRPr="00AE6280" w:rsidRDefault="00AE6280" w:rsidP="00F01149">
      <w:pPr>
        <w:spacing w:before="120" w:after="0" w:line="360" w:lineRule="auto"/>
        <w:rPr>
          <w:rFonts w:ascii="Arial" w:eastAsia="Times New Roman" w:hAnsi="Arial" w:cs="Arial"/>
          <w:sz w:val="28"/>
          <w:szCs w:val="28"/>
          <w:lang w:val="en-GB"/>
        </w:rPr>
      </w:pPr>
      <w:r w:rsidRPr="00AE6280">
        <w:rPr>
          <w:rFonts w:ascii="Arial" w:eastAsia="Times New Roman" w:hAnsi="Arial" w:cs="Arial"/>
          <w:b/>
          <w:bCs/>
          <w:sz w:val="28"/>
          <w:szCs w:val="28"/>
          <w:lang w:val="en-GB"/>
        </w:rPr>
        <w:t>President of the Constitutional Court </w:t>
      </w:r>
    </w:p>
    <w:p w14:paraId="564FEBE6" w14:textId="77777777" w:rsidR="00AE6280" w:rsidRPr="00AE6280" w:rsidRDefault="00AE6280" w:rsidP="00F01149">
      <w:pPr>
        <w:spacing w:before="120" w:after="0" w:line="360" w:lineRule="auto"/>
        <w:rPr>
          <w:rFonts w:ascii="Arial" w:eastAsia="Times New Roman" w:hAnsi="Arial" w:cs="Arial"/>
          <w:sz w:val="28"/>
          <w:szCs w:val="28"/>
          <w:lang w:val="en-GB"/>
        </w:rPr>
      </w:pPr>
      <w:r w:rsidRPr="00AE6280">
        <w:rPr>
          <w:rFonts w:ascii="Arial" w:eastAsia="Times New Roman" w:hAnsi="Arial" w:cs="Arial"/>
          <w:b/>
          <w:bCs/>
          <w:sz w:val="28"/>
          <w:szCs w:val="28"/>
          <w:lang w:val="en-GB"/>
        </w:rPr>
        <w:t>Khalifa bin Rashid bin Abdullah Al Khalifa </w:t>
      </w:r>
    </w:p>
    <w:p w14:paraId="5319B616" w14:textId="77777777" w:rsidR="00AE6280" w:rsidRPr="00AE6280" w:rsidRDefault="00AE6280" w:rsidP="00F01149">
      <w:pPr>
        <w:spacing w:before="120" w:after="0" w:line="360" w:lineRule="auto"/>
        <w:rPr>
          <w:rFonts w:ascii="Arial" w:eastAsia="Times New Roman" w:hAnsi="Arial" w:cs="Arial"/>
          <w:sz w:val="28"/>
          <w:szCs w:val="28"/>
          <w:lang w:val="en-GB"/>
        </w:rPr>
      </w:pPr>
      <w:r w:rsidRPr="00AE6280">
        <w:rPr>
          <w:rFonts w:ascii="Arial" w:eastAsia="Times New Roman" w:hAnsi="Arial" w:cs="Arial"/>
          <w:sz w:val="28"/>
          <w:szCs w:val="28"/>
          <w:lang w:val="en-GB"/>
        </w:rPr>
        <w:t>Issued on: 9 Rabi' Al-awwal 1439 A.H. </w:t>
      </w:r>
    </w:p>
    <w:p w14:paraId="1C6B5A89" w14:textId="77777777" w:rsidR="00AE6280" w:rsidRPr="00AE6280" w:rsidRDefault="00AE6280" w:rsidP="00F01149">
      <w:pPr>
        <w:spacing w:before="120" w:after="0" w:line="360" w:lineRule="auto"/>
        <w:rPr>
          <w:rFonts w:ascii="Arial" w:eastAsia="Times New Roman" w:hAnsi="Arial" w:cs="Arial"/>
          <w:sz w:val="28"/>
          <w:szCs w:val="28"/>
          <w:lang w:val="en-GB"/>
        </w:rPr>
      </w:pPr>
      <w:r w:rsidRPr="00AE6280">
        <w:rPr>
          <w:rFonts w:ascii="Arial" w:eastAsia="Times New Roman" w:hAnsi="Arial" w:cs="Arial"/>
          <w:sz w:val="28"/>
          <w:szCs w:val="28"/>
          <w:lang w:val="en-GB"/>
        </w:rPr>
        <w:t>Corresponding to: 27 November 2017 </w:t>
      </w:r>
    </w:p>
    <w:p w14:paraId="5D7D0CDD" w14:textId="77777777" w:rsidR="00AE6280" w:rsidRPr="00AE6280" w:rsidRDefault="00AE6280" w:rsidP="00F01149">
      <w:pPr>
        <w:spacing w:before="120" w:after="0" w:line="360" w:lineRule="auto"/>
        <w:rPr>
          <w:rFonts w:ascii="Arial" w:eastAsia="Times New Roman" w:hAnsi="Arial" w:cs="Arial"/>
          <w:b/>
          <w:bCs/>
          <w:sz w:val="28"/>
          <w:szCs w:val="28"/>
        </w:rPr>
      </w:pPr>
    </w:p>
    <w:p w14:paraId="216364FC" w14:textId="77777777" w:rsidR="00AE6280" w:rsidRPr="00AE6280" w:rsidRDefault="00AE6280" w:rsidP="00F01149">
      <w:pPr>
        <w:spacing w:before="120" w:after="0" w:line="360" w:lineRule="auto"/>
        <w:rPr>
          <w:rFonts w:ascii="Arial" w:hAnsi="Arial" w:cs="Arial"/>
          <w:sz w:val="28"/>
          <w:szCs w:val="28"/>
        </w:rPr>
      </w:pPr>
    </w:p>
    <w:sectPr w:rsidR="00AE6280" w:rsidRPr="00AE6280" w:rsidSect="00F73C4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3AB72" w14:textId="77777777" w:rsidR="00AE6280" w:rsidRDefault="00AE6280">
      <w:pPr>
        <w:spacing w:after="0" w:line="240" w:lineRule="auto"/>
      </w:pPr>
      <w:r>
        <w:separator/>
      </w:r>
    </w:p>
  </w:endnote>
  <w:endnote w:type="continuationSeparator" w:id="0">
    <w:p w14:paraId="7BCF2BE5" w14:textId="77777777" w:rsidR="00AE6280" w:rsidRDefault="00AE6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26F17" w14:textId="77777777" w:rsidR="00AE6280" w:rsidRDefault="00AE6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566F1" w14:textId="77777777" w:rsidR="00AE6280" w:rsidRDefault="00AE62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120F" w14:textId="77777777" w:rsidR="00AE6280" w:rsidRDefault="00AE6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F58D0" w14:textId="77777777" w:rsidR="00AE6280" w:rsidRDefault="00AE6280">
      <w:pPr>
        <w:spacing w:after="0" w:line="240" w:lineRule="auto"/>
      </w:pPr>
      <w:r>
        <w:separator/>
      </w:r>
    </w:p>
  </w:footnote>
  <w:footnote w:type="continuationSeparator" w:id="0">
    <w:p w14:paraId="199AFB6C" w14:textId="77777777" w:rsidR="00AE6280" w:rsidRDefault="00AE6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93C3C" w14:textId="77777777" w:rsidR="00AE6280" w:rsidRDefault="00AE6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B9A29" w14:textId="77777777" w:rsidR="00AE6280" w:rsidRDefault="00AE6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53647" w14:textId="77777777" w:rsidR="00AE6280" w:rsidRDefault="00AE62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B0"/>
    <w:rsid w:val="000129C5"/>
    <w:rsid w:val="00435380"/>
    <w:rsid w:val="00946FD6"/>
    <w:rsid w:val="00AE6280"/>
    <w:rsid w:val="00ED6CB0"/>
    <w:rsid w:val="00F01149"/>
    <w:rsid w:val="00F73C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687BE"/>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470</Words>
  <Characters>2684</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2024-05-14T09:41:00Z</dcterms:created>
  <dcterms:modified xsi:type="dcterms:W3CDTF">2024-05-15T18:24:00Z</dcterms:modified>
</cp:coreProperties>
</file>