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0504D" w14:textId="77777777" w:rsidR="00D2632C" w:rsidRPr="00D2632C" w:rsidRDefault="00D2632C" w:rsidP="00864A94">
      <w:pPr>
        <w:spacing w:before="120" w:after="0" w:line="360" w:lineRule="auto"/>
        <w:rPr>
          <w:rFonts w:ascii="Arial" w:eastAsia="Times New Roman" w:hAnsi="Arial" w:cs="Arial"/>
          <w:b/>
          <w:bCs/>
          <w:sz w:val="28"/>
          <w:szCs w:val="28"/>
          <w:lang w:val="en-GB"/>
        </w:rPr>
      </w:pPr>
      <w:r w:rsidRPr="00D2632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2559036" w14:textId="77777777" w:rsidR="00D2632C" w:rsidRPr="00D2632C" w:rsidRDefault="00D2632C" w:rsidP="00864A94">
      <w:pPr>
        <w:spacing w:before="120" w:after="0" w:line="360" w:lineRule="auto"/>
        <w:rPr>
          <w:rFonts w:ascii="Arial" w:eastAsia="Times New Roman" w:hAnsi="Arial" w:cs="Arial"/>
          <w:b/>
          <w:bCs/>
          <w:sz w:val="28"/>
          <w:szCs w:val="28"/>
          <w:lang w:val="en-GB"/>
        </w:rPr>
      </w:pPr>
      <w:r w:rsidRPr="00D2632C">
        <w:rPr>
          <w:rFonts w:ascii="Arial" w:eastAsia="Times New Roman" w:hAnsi="Arial" w:cs="Arial"/>
          <w:b/>
          <w:bCs/>
          <w:sz w:val="28"/>
          <w:szCs w:val="28"/>
          <w:lang w:val="en-GB"/>
        </w:rPr>
        <w:t>For any corrections, remarks, or suggestions, kindly contact us on translate@lloc.gov.bh</w:t>
      </w:r>
    </w:p>
    <w:p w14:paraId="778A3337" w14:textId="77777777" w:rsidR="00D2632C" w:rsidRPr="00D2632C" w:rsidRDefault="00D2632C" w:rsidP="00864A94">
      <w:pPr>
        <w:spacing w:before="120" w:after="0" w:line="360" w:lineRule="auto"/>
        <w:rPr>
          <w:rFonts w:ascii="Arial" w:eastAsia="Times New Roman" w:hAnsi="Arial" w:cs="Arial"/>
          <w:b/>
          <w:bCs/>
          <w:sz w:val="28"/>
          <w:szCs w:val="28"/>
          <w:lang w:val="en-GB"/>
        </w:rPr>
      </w:pPr>
      <w:r w:rsidRPr="00D2632C">
        <w:rPr>
          <w:rFonts w:ascii="Arial" w:eastAsia="Times New Roman" w:hAnsi="Arial" w:cs="Arial"/>
          <w:b/>
          <w:bCs/>
          <w:sz w:val="28"/>
          <w:szCs w:val="28"/>
          <w:lang w:val="en-GB"/>
        </w:rPr>
        <w:t>Published on the website on May 2024</w:t>
      </w:r>
      <w:r w:rsidRPr="00D2632C">
        <w:rPr>
          <w:rFonts w:ascii="Arial" w:eastAsia="Times New Roman" w:hAnsi="Arial" w:cs="Arial"/>
          <w:b/>
          <w:bCs/>
          <w:sz w:val="28"/>
          <w:szCs w:val="28"/>
          <w:lang w:val="en-GB"/>
        </w:rPr>
        <w:br w:type="page"/>
      </w:r>
    </w:p>
    <w:p w14:paraId="0BDBCFC0" w14:textId="77777777" w:rsidR="00D2632C" w:rsidRPr="00D2632C" w:rsidRDefault="00D2632C" w:rsidP="00864A94">
      <w:pPr>
        <w:spacing w:before="120" w:after="0" w:line="360" w:lineRule="auto"/>
        <w:jc w:val="center"/>
        <w:rPr>
          <w:rFonts w:ascii="Arial" w:eastAsia="Times New Roman" w:hAnsi="Arial" w:cs="Arial"/>
          <w:sz w:val="28"/>
          <w:szCs w:val="28"/>
          <w:lang w:val="en-GB"/>
        </w:rPr>
      </w:pPr>
      <w:r w:rsidRPr="00D2632C">
        <w:rPr>
          <w:rFonts w:ascii="Arial" w:eastAsia="Times New Roman" w:hAnsi="Arial" w:cs="Arial"/>
          <w:b/>
          <w:bCs/>
          <w:sz w:val="28"/>
          <w:szCs w:val="28"/>
          <w:lang w:val="en-GB"/>
        </w:rPr>
        <w:lastRenderedPageBreak/>
        <w:t>Legislative Decree No. (31) of 1996 Approving the Accession to the Paris Convention for the Protection of Industrial Property</w:t>
      </w:r>
    </w:p>
    <w:p w14:paraId="0ABDBB84"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br w:type="page"/>
      </w:r>
    </w:p>
    <w:p w14:paraId="2BCF645C"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t>We, Isa bin Salman Al Khalifa, Emir of the State of Bahrain. </w:t>
      </w:r>
    </w:p>
    <w:p w14:paraId="4E49FA1C"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t>Having reviewed the Constitution, </w:t>
      </w:r>
    </w:p>
    <w:p w14:paraId="070CD21A"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t>Emiri Order No. (4) of 1975; </w:t>
      </w:r>
    </w:p>
    <w:p w14:paraId="11E4DF54"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t>And Paris Convention for the Protection of the Literary and Artistic Works </w:t>
      </w:r>
    </w:p>
    <w:p w14:paraId="14584F9E"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t>And upon the submission of the Minister of Commerce, </w:t>
      </w:r>
    </w:p>
    <w:p w14:paraId="1AF3196C"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t>And after the approval of the Council of Ministers, </w:t>
      </w:r>
    </w:p>
    <w:p w14:paraId="7B230079"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b/>
          <w:bCs/>
          <w:sz w:val="28"/>
          <w:szCs w:val="28"/>
          <w:lang w:val="en-GB"/>
        </w:rPr>
        <w:t>Hereby Decree the following Law: </w:t>
      </w:r>
    </w:p>
    <w:p w14:paraId="08D623A9"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b/>
          <w:bCs/>
          <w:sz w:val="28"/>
          <w:szCs w:val="28"/>
          <w:lang w:val="en-GB"/>
        </w:rPr>
        <w:t>Article One </w:t>
      </w:r>
    </w:p>
    <w:p w14:paraId="1A22CE0F"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t>It was agreed that the State of Bahrain shall join the Paris Convention for the Protection of the Industrial Property, attached to this Law, concluded on 20 March 1883 and amended in Brussels on 14 December 1900, in Washington on 2 June 1911, in The Hague on 6 November 1925, in London on 2 June 1934 and in Lisbon on 31 October 1958, in Stockholm on 14 July 1967, and revised on 2 October 1979. </w:t>
      </w:r>
    </w:p>
    <w:p w14:paraId="4447C9C0"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b/>
          <w:bCs/>
          <w:sz w:val="28"/>
          <w:szCs w:val="28"/>
          <w:lang w:val="en-GB"/>
        </w:rPr>
        <w:t>Article Two </w:t>
      </w:r>
    </w:p>
    <w:p w14:paraId="11139C5A"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3861D4C1"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b/>
          <w:bCs/>
          <w:sz w:val="28"/>
          <w:szCs w:val="28"/>
          <w:lang w:val="en-GB"/>
        </w:rPr>
        <w:t>Emir of the State of Bahrain </w:t>
      </w:r>
    </w:p>
    <w:p w14:paraId="1C2BC276"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b/>
          <w:bCs/>
          <w:sz w:val="28"/>
          <w:szCs w:val="28"/>
          <w:lang w:val="en-GB"/>
        </w:rPr>
        <w:t>Isa bin Salman Al Khalifa </w:t>
      </w:r>
    </w:p>
    <w:p w14:paraId="55CFF43E"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b/>
          <w:bCs/>
          <w:sz w:val="28"/>
          <w:szCs w:val="28"/>
          <w:lang w:val="en-GB"/>
        </w:rPr>
        <w:t>Issued at Riffa Palace: </w:t>
      </w:r>
    </w:p>
    <w:p w14:paraId="25D9E463"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b/>
          <w:bCs/>
          <w:sz w:val="28"/>
          <w:szCs w:val="28"/>
          <w:lang w:val="en-GB"/>
        </w:rPr>
        <w:t>On 17 Jumada Al-Akhir 1417 A.H. </w:t>
      </w:r>
    </w:p>
    <w:p w14:paraId="331B7917" w14:textId="77777777" w:rsidR="00D2632C" w:rsidRPr="00D2632C" w:rsidRDefault="00D2632C" w:rsidP="00864A94">
      <w:pPr>
        <w:spacing w:before="120" w:after="0" w:line="360" w:lineRule="auto"/>
        <w:rPr>
          <w:rFonts w:ascii="Arial" w:eastAsia="Times New Roman" w:hAnsi="Arial" w:cs="Arial"/>
          <w:sz w:val="28"/>
          <w:szCs w:val="28"/>
          <w:lang w:val="en-GB"/>
        </w:rPr>
      </w:pPr>
      <w:r w:rsidRPr="00D2632C">
        <w:rPr>
          <w:rFonts w:ascii="Arial" w:eastAsia="Times New Roman" w:hAnsi="Arial" w:cs="Arial"/>
          <w:b/>
          <w:bCs/>
          <w:sz w:val="28"/>
          <w:szCs w:val="28"/>
          <w:lang w:val="en-GB"/>
        </w:rPr>
        <w:t>Corresponding to: 29 October 1996 </w:t>
      </w:r>
    </w:p>
    <w:p w14:paraId="40013A00" w14:textId="77777777" w:rsidR="00D2632C" w:rsidRPr="00D2632C" w:rsidRDefault="00D2632C" w:rsidP="00864A94">
      <w:pPr>
        <w:spacing w:before="120" w:after="0" w:line="360" w:lineRule="auto"/>
        <w:rPr>
          <w:rFonts w:ascii="Arial" w:eastAsia="Times New Roman" w:hAnsi="Arial" w:cs="Arial"/>
          <w:b/>
          <w:bCs/>
          <w:sz w:val="28"/>
          <w:szCs w:val="28"/>
        </w:rPr>
      </w:pPr>
    </w:p>
    <w:p w14:paraId="0A1AF941" w14:textId="77777777" w:rsidR="00D2632C" w:rsidRPr="00D2632C" w:rsidRDefault="00D2632C" w:rsidP="00864A94">
      <w:pPr>
        <w:spacing w:before="120" w:after="0" w:line="360" w:lineRule="auto"/>
        <w:rPr>
          <w:rFonts w:ascii="Arial" w:hAnsi="Arial" w:cs="Arial"/>
          <w:sz w:val="28"/>
          <w:szCs w:val="28"/>
        </w:rPr>
      </w:pPr>
    </w:p>
    <w:sectPr w:rsidR="00D2632C" w:rsidRPr="00D2632C" w:rsidSect="00810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2C"/>
    <w:rsid w:val="000129C5"/>
    <w:rsid w:val="00435380"/>
    <w:rsid w:val="00521F4E"/>
    <w:rsid w:val="00810AAF"/>
    <w:rsid w:val="00864A94"/>
    <w:rsid w:val="00D263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18F9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