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8840" w14:textId="77777777" w:rsidR="00AE2A80" w:rsidRPr="00AE2A80" w:rsidRDefault="00AE2A80" w:rsidP="008115F3">
      <w:pPr>
        <w:spacing w:before="120" w:after="0" w:line="360" w:lineRule="auto"/>
        <w:rPr>
          <w:rFonts w:ascii="Arial" w:eastAsia="Times New Roman" w:hAnsi="Arial" w:cs="Arial"/>
          <w:b/>
          <w:bCs/>
          <w:sz w:val="28"/>
          <w:szCs w:val="28"/>
          <w:lang w:val="en-GB"/>
        </w:rPr>
      </w:pPr>
      <w:r w:rsidRPr="00AE2A8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24FD951" w14:textId="77777777" w:rsidR="00AE2A80" w:rsidRPr="00AE2A80" w:rsidRDefault="00AE2A80" w:rsidP="008115F3">
      <w:pPr>
        <w:spacing w:before="120" w:after="0" w:line="360" w:lineRule="auto"/>
        <w:rPr>
          <w:rFonts w:ascii="Arial" w:eastAsia="Times New Roman" w:hAnsi="Arial" w:cs="Arial"/>
          <w:b/>
          <w:bCs/>
          <w:sz w:val="28"/>
          <w:szCs w:val="28"/>
          <w:lang w:val="en-GB"/>
        </w:rPr>
      </w:pPr>
      <w:r w:rsidRPr="00AE2A80">
        <w:rPr>
          <w:rFonts w:ascii="Arial" w:eastAsia="Times New Roman" w:hAnsi="Arial" w:cs="Arial"/>
          <w:b/>
          <w:bCs/>
          <w:sz w:val="28"/>
          <w:szCs w:val="28"/>
          <w:lang w:val="en-GB"/>
        </w:rPr>
        <w:t>For any corrections, remarks, or suggestions, kindly contact us on translate@lloc.gov.bh</w:t>
      </w:r>
    </w:p>
    <w:p w14:paraId="3C50B8A4" w14:textId="77777777" w:rsidR="00AE2A80" w:rsidRPr="00AE2A80" w:rsidRDefault="00AE2A80" w:rsidP="008115F3">
      <w:pPr>
        <w:spacing w:before="120" w:after="0" w:line="360" w:lineRule="auto"/>
        <w:rPr>
          <w:rFonts w:ascii="Arial" w:eastAsia="Times New Roman" w:hAnsi="Arial" w:cs="Arial"/>
          <w:b/>
          <w:bCs/>
          <w:sz w:val="28"/>
          <w:szCs w:val="28"/>
          <w:lang w:val="en-GB"/>
        </w:rPr>
      </w:pPr>
      <w:r w:rsidRPr="00AE2A80">
        <w:rPr>
          <w:rFonts w:ascii="Arial" w:eastAsia="Times New Roman" w:hAnsi="Arial" w:cs="Arial"/>
          <w:b/>
          <w:bCs/>
          <w:sz w:val="28"/>
          <w:szCs w:val="28"/>
          <w:lang w:val="en-GB"/>
        </w:rPr>
        <w:t>Published on the website on May 2024</w:t>
      </w:r>
      <w:r w:rsidRPr="00AE2A80">
        <w:rPr>
          <w:rFonts w:ascii="Arial" w:eastAsia="Times New Roman" w:hAnsi="Arial" w:cs="Arial"/>
          <w:b/>
          <w:bCs/>
          <w:sz w:val="28"/>
          <w:szCs w:val="28"/>
          <w:lang w:val="en-GB"/>
        </w:rPr>
        <w:br w:type="page"/>
      </w:r>
    </w:p>
    <w:p w14:paraId="7FC8389A" w14:textId="77777777" w:rsidR="00AE2A80" w:rsidRPr="00AE2A80" w:rsidRDefault="00AE2A80" w:rsidP="008115F3">
      <w:pPr>
        <w:spacing w:before="120" w:after="0" w:line="360" w:lineRule="auto"/>
        <w:jc w:val="center"/>
        <w:rPr>
          <w:rFonts w:ascii="Arial" w:eastAsia="Times New Roman" w:hAnsi="Arial" w:cs="Arial"/>
          <w:sz w:val="28"/>
          <w:szCs w:val="28"/>
          <w:lang w:val="en-GB"/>
        </w:rPr>
      </w:pPr>
      <w:r w:rsidRPr="00AE2A80">
        <w:rPr>
          <w:rFonts w:ascii="Arial" w:eastAsia="Times New Roman" w:hAnsi="Arial" w:cs="Arial"/>
          <w:b/>
          <w:bCs/>
          <w:sz w:val="28"/>
          <w:szCs w:val="28"/>
          <w:lang w:val="en-GB"/>
        </w:rPr>
        <w:lastRenderedPageBreak/>
        <w:t>Legislative Decree No. (19) of 1999 ratifying the Agreement on Trade, Economic and Technical Co-operation between the Government of the State of Bahrain and the Government of the Russian Federation</w:t>
      </w:r>
    </w:p>
    <w:p w14:paraId="3F3061A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br w:type="page"/>
      </w:r>
    </w:p>
    <w:p w14:paraId="3E1F51A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We, Hamad bin Isa Al Khalifa Emir of the State of Bahrain. </w:t>
      </w:r>
    </w:p>
    <w:p w14:paraId="528C7BE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Having reviewed the Constitution; </w:t>
      </w:r>
    </w:p>
    <w:p w14:paraId="727995D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Emiri Decree No. (4) of 1975; </w:t>
      </w:r>
    </w:p>
    <w:p w14:paraId="3D766C44"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And the agreement between the Government of the State of Bahrain and the Government of the Russian Federation on Trade, Economic and Technical Co-operation signed in the city of Manama on 26 Dhu Al-Hijjah 1419 A.H. Corresponding to 12 April 1999. </w:t>
      </w:r>
    </w:p>
    <w:p w14:paraId="03243CA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And upon the submission of the Minister of Finance and National Economy; </w:t>
      </w:r>
    </w:p>
    <w:p w14:paraId="2037A53E"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And after consulting the Shura Council, </w:t>
      </w:r>
    </w:p>
    <w:p w14:paraId="11CAF57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And after the approval of the Council of Ministers; </w:t>
      </w:r>
    </w:p>
    <w:p w14:paraId="3236F08E"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Hereby Decree the following Law: </w:t>
      </w:r>
    </w:p>
    <w:p w14:paraId="00B73EC6"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One </w:t>
      </w:r>
    </w:p>
    <w:p w14:paraId="10EFD47A"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agreement between the Government of the State of Bahrain and the Government of the Russian Federation on Trade, Economic and Technical Co-operation signed in the city of Manama on 26 Dhu Al-Hijjah 1419 H. Corresponding to 12 April 1999, and accompanying this law has been ratified. </w:t>
      </w:r>
    </w:p>
    <w:p w14:paraId="5BB6F5AE"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Two </w:t>
      </w:r>
    </w:p>
    <w:p w14:paraId="14FC03B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ministers, each in his respective capacity, shall implement this Law, which shall come into effect on the day of its publication in the Offical Gazette. </w:t>
      </w:r>
    </w:p>
    <w:p w14:paraId="232864F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Emir of the State of Bahrain </w:t>
      </w:r>
    </w:p>
    <w:p w14:paraId="5FB73D5D"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Hamad bin Isa Al Khalifa </w:t>
      </w:r>
    </w:p>
    <w:p w14:paraId="13B9F181"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Promulgated at Riffa Palace: </w:t>
      </w:r>
    </w:p>
    <w:p w14:paraId="5F7297BC"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On: 16 Muharram 1420 A.H. </w:t>
      </w:r>
    </w:p>
    <w:p w14:paraId="4A33F82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Corresponding to: 2 May 1999 </w:t>
      </w:r>
    </w:p>
    <w:p w14:paraId="46C345A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The agreement between the Government of the State of Bahrain and the Government of the Russian Federation on Trade, Economic and Technical Co-operation. </w:t>
      </w:r>
    </w:p>
    <w:p w14:paraId="4C5524CA"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government of the State of Bahrain and the government of the Russian Federation, hereinafter referred to as (the contracting parties), </w:t>
      </w:r>
    </w:p>
    <w:p w14:paraId="7971278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Desiring to further strengthen the friendly relations and promote the development of trade, economic and technical co-operation between the two countries on the basis of equality and mutual benefit, have agreed as follows:  </w:t>
      </w:r>
    </w:p>
    <w:p w14:paraId="0506778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-1- </w:t>
      </w:r>
    </w:p>
    <w:p w14:paraId="642552D5"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Contracting Parties shall take all appropriate measures to ensure the development and promotion of trade, economic and technical co-operation in accordance with the legislation in force in their countries.  </w:t>
      </w:r>
    </w:p>
    <w:p w14:paraId="06E7A3D4"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-2- </w:t>
      </w:r>
    </w:p>
    <w:p w14:paraId="7F84A57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Contracting Parties shall mutually extend the most favoured nation treatment in all aspects related to trade and economic co-operation between the two countries.  </w:t>
      </w:r>
    </w:p>
    <w:p w14:paraId="1ECC17C7"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provisions of the above paragraph shall not apply to advantages or concessions which:  </w:t>
      </w:r>
    </w:p>
    <w:p w14:paraId="16B8EF75"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A- Either Contracting Party extended or will extend to neighbouring countries aimed to facilitate border trading,  </w:t>
      </w:r>
    </w:p>
    <w:p w14:paraId="4FC71DE4"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B- Either Contracting Party extended or will extend to member countries of a customs union, free trade zone, regional economic organization, or of any other similar preferential agreement to which only one of the Contracting Parties is a party,  </w:t>
      </w:r>
    </w:p>
    <w:p w14:paraId="24D28B1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C- The Russian Federation extended or will extend to the States which emerged on the territory of the former USSR.  </w:t>
      </w:r>
    </w:p>
    <w:p w14:paraId="3C2FEF31"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-3- </w:t>
      </w:r>
    </w:p>
    <w:p w14:paraId="15F7F6DB"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economic and technical co-operation to be executed within the framework of this Agreement shall cover the following areas:  Industry, power, transport, construction, communications, exchange of technological expertise, agriculture, water resources, health, banking, formation and training of personnel, tourism and any other areas which the Contracting Parties may agree upon in future.  </w:t>
      </w:r>
    </w:p>
    <w:p w14:paraId="64C5F10B"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-4- </w:t>
      </w:r>
    </w:p>
    <w:p w14:paraId="18BD29C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Trade and economic co-operation between the enterprises and organizations of both countries shall be accomplished at market prices and in accordance with the legislation in force in both countries.  </w:t>
      </w:r>
    </w:p>
    <w:p w14:paraId="2BF7CD7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payment in all transactions relating to this Agreement shall be made in a freely convertible currency.  </w:t>
      </w:r>
    </w:p>
    <w:p w14:paraId="5C9348B1"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-5- </w:t>
      </w:r>
    </w:p>
    <w:p w14:paraId="19589A0D"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temporary import and export of goods (including samples and advertising materials of no commercial value, items to be exhibited at fairs and exhibitions, marked containers and used packing) exempt from payment of customs duties and other taxes and levies of equivalent application provided they are returned back, as well as the charges for their customs clearance shall be regulated in accordance with the legislation in force in both countries.  </w:t>
      </w:r>
    </w:p>
    <w:p w14:paraId="771A9FD7"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-6- </w:t>
      </w:r>
    </w:p>
    <w:p w14:paraId="5372E102"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Contracting Parties shall strive to achieve economic and technical co-operation in the following forms:  </w:t>
      </w:r>
    </w:p>
    <w:p w14:paraId="792EE4C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a.      Preparing the pre-design and design studies and feasibility studies,  </w:t>
      </w:r>
    </w:p>
    <w:p w14:paraId="170B014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b.      Participation of the enterprises and organizations of both countries in the designing and construction of industrial projects, electrical power stations and other projects,  </w:t>
      </w:r>
    </w:p>
    <w:p w14:paraId="1C3CE520"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c.      Establishment of joint ventures in different fields of economy,  </w:t>
      </w:r>
    </w:p>
    <w:p w14:paraId="672EB86A"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d.      Exchanging, selling and buying of patents, licences and technologies, </w:t>
      </w:r>
    </w:p>
    <w:p w14:paraId="0665B8C4"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e.      Training of personnel, including technical specialists.  </w:t>
      </w:r>
    </w:p>
    <w:p w14:paraId="076DED2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-7- </w:t>
      </w:r>
    </w:p>
    <w:p w14:paraId="1F2FC29E"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Contracting Parties shall facilitate and encourage the participation of their respective enterprises and organizations in international exhibitions and fairs to be held on the territory of either country, each Contracting Party providing the other with all assistance necessary for holding and managing the exhibitions.  </w:t>
      </w:r>
    </w:p>
    <w:p w14:paraId="0649EBE3"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-8- </w:t>
      </w:r>
    </w:p>
    <w:p w14:paraId="5CEB17B0"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Each Contracting Party shall grant freedom of transit on its territory for the goods of the other Contracting Party in accordance with the legislation in force in both countries.  </w:t>
      </w:r>
    </w:p>
    <w:p w14:paraId="41F8ABEE"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-9- </w:t>
      </w:r>
    </w:p>
    <w:p w14:paraId="7BE8A000"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provisions of this Agreement shall not restrict the right of either Contracting Party to impose prohibitions or restrictions on import, export and transit of goods in accordance with legislation in force in both countries.  </w:t>
      </w:r>
    </w:p>
    <w:p w14:paraId="264F1856"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said prohibitions and restrictions shall not however be a means of imposing indirect limitations on trade between the two countries.  </w:t>
      </w:r>
    </w:p>
    <w:p w14:paraId="43656A4B"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-10- </w:t>
      </w:r>
    </w:p>
    <w:p w14:paraId="24AB8AED"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Each Contracting Party may have its commercial representation in the country of the other Contracting Party. The legal status and functions of the commercial representation shall be determined by a separate agreement.  </w:t>
      </w:r>
    </w:p>
    <w:p w14:paraId="63FD6B1B"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-11- </w:t>
      </w:r>
    </w:p>
    <w:p w14:paraId="0C02CFD1"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present Agreement shall not affect the rights and obligations of the Contracting Parties as a consequence of other bilateral or multilateral agreements to which one of the Contracting Parties is a part.  </w:t>
      </w:r>
    </w:p>
    <w:p w14:paraId="62EB32B5"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-12- </w:t>
      </w:r>
    </w:p>
    <w:p w14:paraId="740522EA"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Contracting Parties shall form a Joint Commission. The Joint Commission shall hold its meetings when necessary, alternately in both countries. </w:t>
      </w:r>
    </w:p>
    <w:p w14:paraId="0419710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-13- </w:t>
      </w:r>
    </w:p>
    <w:p w14:paraId="5F12FE46"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differences that may arise in connection with the interpretation or application of the provisions of this Agreement shall be settled through negotiations between the Parties.  </w:t>
      </w:r>
    </w:p>
    <w:p w14:paraId="76B1BB9D"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Article -14- </w:t>
      </w:r>
    </w:p>
    <w:p w14:paraId="1B775D5D"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present Agreement shall enter into force from the date of the last written notice stating that each Contracting Party has completed the domestic state procedures necessary for the Agreement to come into force.  </w:t>
      </w:r>
    </w:p>
    <w:p w14:paraId="4D457ED8"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Agreement shall be valid for five years and shall be automatically extended for subsequent five-year periods unless either of the Contracting Parties notifies the other Contracting Party in writing of its desire to terminate the Agreement at least 6 months prior to the expiry of its respective term. </w:t>
      </w:r>
    </w:p>
    <w:p w14:paraId="7E1FF7EF"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The provisions of this Agreement shall continue to be applied to all contracts concluded within the validity period of the Agreement but were not fulfilled by the time of its termination.  </w:t>
      </w:r>
    </w:p>
    <w:p w14:paraId="2B77995E"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IN WITNESS WHEREOF, the undersigned, duly authorised thereto by their respective Governments, have signed this Agreement. </w:t>
      </w:r>
    </w:p>
    <w:p w14:paraId="26436346"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sz w:val="28"/>
          <w:szCs w:val="28"/>
          <w:lang w:val="en-GB"/>
        </w:rPr>
        <w:t>Done in Manama on 12/4/1999 which corresponds to 26th Dhu AlHijja 1419 of Hijra, in two copies each in Arabic, Russian and English languages, all texts being equally authentic. In case of differences in interpretation between the Arabic and Russian texts, the Contracting Parties shall refer to the English text.  </w:t>
      </w:r>
    </w:p>
    <w:p w14:paraId="024429C8" w14:textId="77777777" w:rsidR="00AE2A80" w:rsidRPr="00AE2A80" w:rsidRDefault="00AE2A80" w:rsidP="008115F3">
      <w:pPr>
        <w:spacing w:before="120" w:after="0" w:line="360" w:lineRule="auto"/>
        <w:rPr>
          <w:rFonts w:ascii="Arial" w:eastAsia="Times New Roman" w:hAnsi="Arial" w:cs="Arial"/>
          <w:b/>
          <w:bCs/>
          <w:sz w:val="28"/>
          <w:szCs w:val="28"/>
          <w:lang w:val="en-GB"/>
        </w:rPr>
      </w:pPr>
      <w:r w:rsidRPr="00AE2A80">
        <w:rPr>
          <w:rFonts w:ascii="Arial" w:eastAsia="Times New Roman" w:hAnsi="Arial" w:cs="Arial"/>
          <w:b/>
          <w:bCs/>
          <w:sz w:val="28"/>
          <w:szCs w:val="28"/>
          <w:lang w:val="en-GB"/>
        </w:rPr>
        <w:t xml:space="preserve">For the government </w:t>
      </w:r>
    </w:p>
    <w:p w14:paraId="0C039DB9"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for the government </w:t>
      </w:r>
    </w:p>
    <w:p w14:paraId="01C6814E" w14:textId="77777777" w:rsidR="00AE2A80" w:rsidRPr="00AE2A80" w:rsidRDefault="00AE2A80" w:rsidP="008115F3">
      <w:pPr>
        <w:spacing w:before="120" w:after="0" w:line="360" w:lineRule="auto"/>
        <w:rPr>
          <w:rFonts w:ascii="Arial" w:eastAsia="Times New Roman" w:hAnsi="Arial" w:cs="Arial"/>
          <w:b/>
          <w:bCs/>
          <w:sz w:val="28"/>
          <w:szCs w:val="28"/>
          <w:lang w:val="en-GB"/>
        </w:rPr>
      </w:pPr>
      <w:r w:rsidRPr="00AE2A80">
        <w:rPr>
          <w:rFonts w:ascii="Arial" w:eastAsia="Times New Roman" w:hAnsi="Arial" w:cs="Arial"/>
          <w:b/>
          <w:bCs/>
          <w:sz w:val="28"/>
          <w:szCs w:val="28"/>
          <w:lang w:val="en-GB"/>
        </w:rPr>
        <w:t xml:space="preserve">State of Bahrain </w:t>
      </w:r>
    </w:p>
    <w:p w14:paraId="375B2F32" w14:textId="77777777" w:rsidR="00AE2A80" w:rsidRPr="00AE2A80" w:rsidRDefault="00AE2A80" w:rsidP="008115F3">
      <w:pPr>
        <w:spacing w:before="120" w:after="0" w:line="360" w:lineRule="auto"/>
        <w:rPr>
          <w:rFonts w:ascii="Arial" w:eastAsia="Times New Roman" w:hAnsi="Arial" w:cs="Arial"/>
          <w:sz w:val="28"/>
          <w:szCs w:val="28"/>
          <w:lang w:val="en-GB"/>
        </w:rPr>
      </w:pPr>
      <w:r w:rsidRPr="00AE2A80">
        <w:rPr>
          <w:rFonts w:ascii="Arial" w:eastAsia="Times New Roman" w:hAnsi="Arial" w:cs="Arial"/>
          <w:b/>
          <w:bCs/>
          <w:sz w:val="28"/>
          <w:szCs w:val="28"/>
          <w:lang w:val="en-GB"/>
        </w:rPr>
        <w:t>Russian Federation </w:t>
      </w:r>
    </w:p>
    <w:p w14:paraId="402E5FA5" w14:textId="77777777" w:rsidR="00AE2A80" w:rsidRPr="00AE2A80" w:rsidRDefault="00AE2A80" w:rsidP="008115F3">
      <w:pPr>
        <w:spacing w:before="120" w:after="0" w:line="360" w:lineRule="auto"/>
        <w:rPr>
          <w:rFonts w:ascii="Arial" w:eastAsia="Times New Roman" w:hAnsi="Arial" w:cs="Arial"/>
          <w:b/>
          <w:bCs/>
          <w:sz w:val="28"/>
          <w:szCs w:val="28"/>
          <w:lang w:val="en-US"/>
        </w:rPr>
      </w:pPr>
    </w:p>
    <w:p w14:paraId="4E1815A8" w14:textId="77777777" w:rsidR="00AE2A80" w:rsidRPr="00AE2A80" w:rsidRDefault="00AE2A80" w:rsidP="008115F3">
      <w:pPr>
        <w:spacing w:before="120" w:after="0" w:line="360" w:lineRule="auto"/>
        <w:rPr>
          <w:rFonts w:ascii="Arial" w:eastAsia="Times New Roman" w:hAnsi="Arial" w:cs="Arial"/>
          <w:b/>
          <w:bCs/>
          <w:sz w:val="28"/>
          <w:szCs w:val="28"/>
          <w:lang w:val="en-US"/>
        </w:rPr>
      </w:pPr>
    </w:p>
    <w:p w14:paraId="0D03AA45" w14:textId="77777777" w:rsidR="00AE2A80" w:rsidRPr="00AE2A80" w:rsidRDefault="00AE2A80" w:rsidP="008115F3">
      <w:pPr>
        <w:spacing w:before="120" w:after="0" w:line="360" w:lineRule="auto"/>
        <w:rPr>
          <w:rFonts w:ascii="Arial" w:hAnsi="Arial" w:cs="Arial"/>
          <w:sz w:val="28"/>
          <w:szCs w:val="28"/>
          <w:lang w:val="en-US"/>
        </w:rPr>
      </w:pPr>
    </w:p>
    <w:sectPr w:rsidR="00AE2A80" w:rsidRPr="00AE2A80" w:rsidSect="00125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80"/>
    <w:rsid w:val="000129C5"/>
    <w:rsid w:val="001257F6"/>
    <w:rsid w:val="00435380"/>
    <w:rsid w:val="00521F4E"/>
    <w:rsid w:val="008115F3"/>
    <w:rsid w:val="00AE2A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4CFC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