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5CC4" w14:textId="77777777" w:rsidR="00BF221D" w:rsidRPr="00BF221D" w:rsidRDefault="00BF221D" w:rsidP="00BF221D">
      <w:pPr>
        <w:spacing w:line="360" w:lineRule="auto"/>
        <w:rPr>
          <w:rFonts w:ascii="Arial" w:hAnsi="Arial" w:cs="Arial"/>
          <w:b/>
          <w:bCs/>
          <w:sz w:val="28"/>
          <w:szCs w:val="28"/>
          <w:lang w:val="en-GB"/>
        </w:rPr>
      </w:pPr>
      <w:r w:rsidRPr="00BF221D">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FD46B71" w14:textId="77777777" w:rsidR="00BF221D" w:rsidRPr="00BF221D" w:rsidRDefault="00BF221D" w:rsidP="00BF221D">
      <w:pPr>
        <w:spacing w:line="360" w:lineRule="auto"/>
        <w:rPr>
          <w:rFonts w:ascii="Arial" w:hAnsi="Arial" w:cs="Arial"/>
          <w:b/>
          <w:bCs/>
          <w:sz w:val="28"/>
          <w:szCs w:val="28"/>
          <w:lang w:val="en-GB"/>
        </w:rPr>
      </w:pPr>
      <w:r w:rsidRPr="00BF221D">
        <w:rPr>
          <w:rFonts w:ascii="Arial" w:hAnsi="Arial" w:cs="Arial"/>
          <w:b/>
          <w:bCs/>
          <w:sz w:val="28"/>
          <w:szCs w:val="28"/>
          <w:lang w:val="en-GB"/>
        </w:rPr>
        <w:t>For any corrections, remarks, or suggestions, kindly contact us on translate@lloc.gov.bh</w:t>
      </w:r>
    </w:p>
    <w:p w14:paraId="7E880B0C" w14:textId="032AAB91" w:rsidR="00BF221D" w:rsidRPr="00BF221D" w:rsidRDefault="00BF221D" w:rsidP="00BF221D">
      <w:pPr>
        <w:spacing w:line="360" w:lineRule="auto"/>
        <w:rPr>
          <w:rFonts w:ascii="Arial" w:hAnsi="Arial" w:cs="Arial"/>
          <w:b/>
          <w:bCs/>
          <w:sz w:val="28"/>
          <w:szCs w:val="28"/>
          <w:lang w:val="en-GB"/>
        </w:rPr>
      </w:pPr>
      <w:r w:rsidRPr="00BF221D">
        <w:rPr>
          <w:rFonts w:ascii="Arial" w:hAnsi="Arial" w:cs="Arial"/>
          <w:b/>
          <w:bCs/>
          <w:sz w:val="28"/>
          <w:szCs w:val="28"/>
          <w:lang w:val="en-GB"/>
        </w:rPr>
        <w:t>Published on the website on April 2025</w:t>
      </w:r>
      <w:r w:rsidRPr="00BF221D">
        <w:rPr>
          <w:rFonts w:ascii="Arial" w:hAnsi="Arial" w:cs="Arial"/>
          <w:b/>
          <w:bCs/>
          <w:sz w:val="28"/>
          <w:szCs w:val="28"/>
          <w:lang w:val="en-GB"/>
        </w:rPr>
        <w:br w:type="page"/>
      </w:r>
    </w:p>
    <w:p w14:paraId="372B6267" w14:textId="71630371" w:rsidR="0094136E" w:rsidRPr="00BF221D" w:rsidRDefault="0094136E" w:rsidP="00696D16">
      <w:pPr>
        <w:spacing w:line="360" w:lineRule="auto"/>
        <w:jc w:val="center"/>
        <w:rPr>
          <w:rFonts w:ascii="Arial" w:hAnsi="Arial" w:cs="Arial"/>
          <w:b/>
          <w:bCs/>
          <w:sz w:val="28"/>
          <w:szCs w:val="28"/>
          <w:lang w:val="en-GB"/>
        </w:rPr>
      </w:pPr>
      <w:r w:rsidRPr="00BF221D">
        <w:rPr>
          <w:rFonts w:ascii="Arial" w:hAnsi="Arial" w:cs="Arial"/>
          <w:b/>
          <w:bCs/>
          <w:sz w:val="28"/>
          <w:szCs w:val="28"/>
          <w:lang w:val="en-GB"/>
        </w:rPr>
        <w:lastRenderedPageBreak/>
        <w:t>Law No. (68) of 2006 Approving Unified Law of Insurance Protection Extension for the Gulf Cooperation Council State Citizens Working Outside Their Countries in Any Member State of the Council</w:t>
      </w:r>
    </w:p>
    <w:p w14:paraId="166AD998"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We, Hamad bin Isa Al Khalifa, King of the Kingdom of Bahrain.</w:t>
      </w:r>
    </w:p>
    <w:p w14:paraId="1C2A5D55"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Having reviewed the Constitution,</w:t>
      </w:r>
    </w:p>
    <w:p w14:paraId="204B59CD"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Law. No. (13) of 1975 regarding the Regulation of Pensions and Retirement Gratuities for Government Employees, as amended,</w:t>
      </w:r>
    </w:p>
    <w:p w14:paraId="05C0D1BC"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 xml:space="preserve">Labour Law for the Private Sector, promulgated by Legislative Decree No. (23) of 1976, as amended, </w:t>
      </w:r>
      <w:proofErr w:type="gramStart"/>
      <w:r w:rsidRPr="00BF221D">
        <w:rPr>
          <w:rFonts w:ascii="Arial" w:hAnsi="Arial" w:cs="Arial"/>
          <w:sz w:val="28"/>
          <w:szCs w:val="28"/>
          <w:lang w:val="en-GB"/>
        </w:rPr>
        <w:t>in particular Article</w:t>
      </w:r>
      <w:proofErr w:type="gramEnd"/>
      <w:r w:rsidRPr="00BF221D">
        <w:rPr>
          <w:rFonts w:ascii="Arial" w:hAnsi="Arial" w:cs="Arial"/>
          <w:sz w:val="28"/>
          <w:szCs w:val="28"/>
          <w:lang w:val="en-GB"/>
        </w:rPr>
        <w:t xml:space="preserve"> (111) thereof,</w:t>
      </w:r>
    </w:p>
    <w:p w14:paraId="513ADEFB"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Social Insurance Law promulgated by Legislative Decree No. (24) of 1976, as amended,</w:t>
      </w:r>
    </w:p>
    <w:p w14:paraId="5A891A2D"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And the Decision of the Supreme Council of the Gulf Cooperation Council at its twenty-fifth session, held in Manama on Monday and Tuesday, 8-9 Dhul-</w:t>
      </w:r>
      <w:proofErr w:type="spellStart"/>
      <w:r w:rsidRPr="00BF221D">
        <w:rPr>
          <w:rFonts w:ascii="Arial" w:hAnsi="Arial" w:cs="Arial"/>
          <w:sz w:val="28"/>
          <w:szCs w:val="28"/>
          <w:lang w:val="en-GB"/>
        </w:rPr>
        <w:t>Qa'dah</w:t>
      </w:r>
      <w:proofErr w:type="spellEnd"/>
      <w:r w:rsidRPr="00BF221D">
        <w:rPr>
          <w:rFonts w:ascii="Arial" w:hAnsi="Arial" w:cs="Arial"/>
          <w:sz w:val="28"/>
          <w:szCs w:val="28"/>
          <w:lang w:val="en-GB"/>
        </w:rPr>
        <w:t xml:space="preserve"> 1425 AH, corresponding to 20-21 December 2004, regarding the Approval of the Draft </w:t>
      </w:r>
      <w:r w:rsidRPr="00BF221D">
        <w:rPr>
          <w:rFonts w:ascii="Arial" w:hAnsi="Arial" w:cs="Arial"/>
          <w:sz w:val="28"/>
          <w:szCs w:val="28"/>
        </w:rPr>
        <w:t xml:space="preserve">Unified Law of Insurance Protection Extension for the Gulf Cooperation Council State Citizens </w:t>
      </w:r>
      <w:r w:rsidRPr="00BF221D">
        <w:rPr>
          <w:rFonts w:ascii="Arial" w:hAnsi="Arial" w:cs="Arial"/>
          <w:sz w:val="28"/>
          <w:szCs w:val="28"/>
          <w:lang w:val="en-GB"/>
        </w:rPr>
        <w:t>Working Outside Their Countries in Any Member State of the Council and its Explanatory Memorandum,</w:t>
      </w:r>
    </w:p>
    <w:p w14:paraId="58BE05C4"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The Shura Council and the Council of Representatives have approved the following Law, which we have ratified and enacted:</w:t>
      </w:r>
    </w:p>
    <w:p w14:paraId="0CF00CBE"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Article One</w:t>
      </w:r>
    </w:p>
    <w:p w14:paraId="70259502"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b/>
          <w:bCs/>
          <w:sz w:val="28"/>
          <w:szCs w:val="28"/>
          <w:lang w:val="en-GB"/>
        </w:rPr>
        <w:t xml:space="preserve">Unified Law of Insurance Protection Extension for the Gulf Cooperation Council State Citizens </w:t>
      </w:r>
      <w:r w:rsidRPr="00BF221D">
        <w:rPr>
          <w:rFonts w:ascii="Arial" w:hAnsi="Arial" w:cs="Arial"/>
          <w:sz w:val="28"/>
          <w:szCs w:val="28"/>
          <w:lang w:val="en-GB"/>
        </w:rPr>
        <w:t xml:space="preserve"> Working Outside Their Countries in Any Member State of the Council, adopted by the decision of the Supreme Council of the </w:t>
      </w:r>
      <w:r w:rsidRPr="00BF221D">
        <w:rPr>
          <w:rFonts w:ascii="Arial" w:hAnsi="Arial" w:cs="Arial"/>
          <w:sz w:val="28"/>
          <w:szCs w:val="28"/>
          <w:lang w:val="en-GB"/>
        </w:rPr>
        <w:lastRenderedPageBreak/>
        <w:t>Gulf Cooperation Council during its twenty-fifth session held in Manama on Monday and Tuesday, 8-9 Dhul-</w:t>
      </w:r>
      <w:proofErr w:type="spellStart"/>
      <w:r w:rsidRPr="00BF221D">
        <w:rPr>
          <w:rFonts w:ascii="Arial" w:hAnsi="Arial" w:cs="Arial"/>
          <w:sz w:val="28"/>
          <w:szCs w:val="28"/>
          <w:lang w:val="en-GB"/>
        </w:rPr>
        <w:t>Qi'dah</w:t>
      </w:r>
      <w:proofErr w:type="spellEnd"/>
      <w:r w:rsidRPr="00BF221D">
        <w:rPr>
          <w:rFonts w:ascii="Arial" w:hAnsi="Arial" w:cs="Arial"/>
          <w:sz w:val="28"/>
          <w:szCs w:val="28"/>
          <w:lang w:val="en-GB"/>
        </w:rPr>
        <w:t xml:space="preserve"> 1425 AH, corresponding to 20-21 December 2004, attached to this Law, has been approved. </w:t>
      </w:r>
    </w:p>
    <w:p w14:paraId="6CD27292"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Article Two</w:t>
      </w:r>
    </w:p>
    <w:p w14:paraId="60824D30"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rPr>
        <w:t xml:space="preserve">The end-of-service benefit regulation stipulated in Article (111) of the </w:t>
      </w:r>
      <w:proofErr w:type="spellStart"/>
      <w:r w:rsidRPr="00BF221D">
        <w:rPr>
          <w:rFonts w:ascii="Arial" w:hAnsi="Arial" w:cs="Arial"/>
          <w:sz w:val="28"/>
          <w:szCs w:val="28"/>
        </w:rPr>
        <w:t>Labour</w:t>
      </w:r>
      <w:proofErr w:type="spellEnd"/>
      <w:r w:rsidRPr="00BF221D">
        <w:rPr>
          <w:rFonts w:ascii="Arial" w:hAnsi="Arial" w:cs="Arial"/>
          <w:sz w:val="28"/>
          <w:szCs w:val="28"/>
        </w:rPr>
        <w:t xml:space="preserve"> Law for the Private Sector, issued by Legislative Decree No. (23) of 1976, and the end-of-service benefit regulation applicable under civil service regulations shall be suspended for workers and employees subject to the law referenced in Article One of this Law, starting from the date of their inclusion in this law.</w:t>
      </w:r>
    </w:p>
    <w:p w14:paraId="01D817E9"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 xml:space="preserve">End-of-service entitlements for these workers and employees shall be settled according to the </w:t>
      </w:r>
      <w:proofErr w:type="gramStart"/>
      <w:r w:rsidRPr="00BF221D">
        <w:rPr>
          <w:rFonts w:ascii="Arial" w:hAnsi="Arial" w:cs="Arial"/>
          <w:sz w:val="28"/>
          <w:szCs w:val="28"/>
          <w:lang w:val="en-GB"/>
        </w:rPr>
        <w:t>aforementioned regulations</w:t>
      </w:r>
      <w:proofErr w:type="gramEnd"/>
      <w:r w:rsidRPr="00BF221D">
        <w:rPr>
          <w:rFonts w:ascii="Arial" w:hAnsi="Arial" w:cs="Arial"/>
          <w:sz w:val="28"/>
          <w:szCs w:val="28"/>
          <w:lang w:val="en-GB"/>
        </w:rPr>
        <w:t xml:space="preserve"> from the date mentioned in the preceding paragraph.</w:t>
      </w:r>
    </w:p>
    <w:p w14:paraId="5A1A0795"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Article Three</w:t>
      </w:r>
    </w:p>
    <w:p w14:paraId="33A1B2FA"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The Retirement Fund Authority, the Social Insurance Organisation, and all ministries, agencies, and public institutions subject to the provisions of Law No. (13) of 1975 regarding the Regulation of Pensions and Retirement Gratuities for Government Employees, as well as employers subject to the provisions of the Social Insurance Law promulgated by Legislative Decree No. (24) of 1976, shall apply the provisions of the system attached to this Law, effective from the date of its enforcement.</w:t>
      </w:r>
    </w:p>
    <w:p w14:paraId="5D5BF51D" w14:textId="77777777" w:rsidR="0094136E" w:rsidRPr="00BF221D" w:rsidRDefault="0094136E" w:rsidP="00696D16">
      <w:pPr>
        <w:keepNext/>
        <w:spacing w:line="360" w:lineRule="auto"/>
        <w:jc w:val="both"/>
        <w:rPr>
          <w:rFonts w:ascii="Arial" w:hAnsi="Arial" w:cs="Arial"/>
          <w:sz w:val="28"/>
          <w:szCs w:val="28"/>
          <w:lang w:val="en-GB"/>
        </w:rPr>
      </w:pPr>
      <w:r w:rsidRPr="00BF221D">
        <w:rPr>
          <w:rFonts w:ascii="Arial" w:hAnsi="Arial" w:cs="Arial"/>
          <w:sz w:val="28"/>
          <w:szCs w:val="28"/>
          <w:lang w:val="en-GB"/>
        </w:rPr>
        <w:lastRenderedPageBreak/>
        <w:t>Article Four</w:t>
      </w:r>
    </w:p>
    <w:p w14:paraId="2BD740A3" w14:textId="77777777" w:rsidR="0094136E" w:rsidRPr="00BF221D" w:rsidRDefault="0094136E" w:rsidP="00696D16">
      <w:pPr>
        <w:keepNext/>
        <w:spacing w:line="360" w:lineRule="auto"/>
        <w:jc w:val="both"/>
        <w:rPr>
          <w:rFonts w:ascii="Arial" w:hAnsi="Arial" w:cs="Arial"/>
          <w:sz w:val="28"/>
          <w:szCs w:val="28"/>
          <w:lang w:val="en-GB"/>
        </w:rPr>
      </w:pPr>
      <w:r w:rsidRPr="00BF221D">
        <w:rPr>
          <w:rFonts w:ascii="Arial" w:hAnsi="Arial" w:cs="Arial"/>
          <w:sz w:val="28"/>
          <w:szCs w:val="28"/>
          <w:lang w:val="en-GB"/>
        </w:rPr>
        <w:t>The Minister of Finance and the Minister of Labour shall issue the necessary executive decisions to implement the provisions of the regulation attached to this Law.</w:t>
      </w:r>
    </w:p>
    <w:p w14:paraId="7BD784A7"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Article Five</w:t>
      </w:r>
    </w:p>
    <w:p w14:paraId="1608F9E6"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Any provision that contradicts the provisions of the regulation attached to this Law shall be repealed.</w:t>
      </w:r>
    </w:p>
    <w:p w14:paraId="7167B083"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Article Six</w:t>
      </w:r>
    </w:p>
    <w:p w14:paraId="31EB8821"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The Ministers—each within their jurisdiction—shall implement this Law, and it shall come into force from the day following the date of its publication in the Official Gazette.</w:t>
      </w:r>
    </w:p>
    <w:p w14:paraId="33D21B40"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King of the Kingdom of Bahrain</w:t>
      </w:r>
    </w:p>
    <w:p w14:paraId="1E6C481C"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Hamad bin Isa Al Khalifa</w:t>
      </w:r>
    </w:p>
    <w:p w14:paraId="3B171631"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Issued at Riffa Palace:</w:t>
      </w:r>
    </w:p>
    <w:p w14:paraId="7FBB1C3B"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On:</w:t>
      </w:r>
    </w:p>
    <w:p w14:paraId="4836F9BF"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19 Ramadan 1427 AH</w:t>
      </w:r>
    </w:p>
    <w:p w14:paraId="0017E709"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Corresponding to:</w:t>
      </w:r>
    </w:p>
    <w:p w14:paraId="30070529" w14:textId="77777777" w:rsidR="0094136E" w:rsidRPr="00BF221D" w:rsidRDefault="0094136E" w:rsidP="00BF221D">
      <w:pPr>
        <w:spacing w:line="360" w:lineRule="auto"/>
        <w:jc w:val="both"/>
        <w:rPr>
          <w:rFonts w:ascii="Arial" w:hAnsi="Arial" w:cs="Arial"/>
          <w:sz w:val="28"/>
          <w:szCs w:val="28"/>
          <w:lang w:val="en-GB"/>
        </w:rPr>
      </w:pPr>
      <w:r w:rsidRPr="00BF221D">
        <w:rPr>
          <w:rFonts w:ascii="Arial" w:hAnsi="Arial" w:cs="Arial"/>
          <w:sz w:val="28"/>
          <w:szCs w:val="28"/>
          <w:lang w:val="en-GB"/>
        </w:rPr>
        <w:t>11 October 2006</w:t>
      </w:r>
    </w:p>
    <w:p w14:paraId="6920E5B1" w14:textId="7C3E3B02" w:rsidR="00847076" w:rsidRPr="00BF221D" w:rsidRDefault="0094136E" w:rsidP="00696D16">
      <w:pPr>
        <w:spacing w:line="360" w:lineRule="auto"/>
        <w:jc w:val="both"/>
        <w:rPr>
          <w:rFonts w:ascii="Arial" w:hAnsi="Arial" w:cs="Arial"/>
          <w:sz w:val="28"/>
          <w:szCs w:val="28"/>
        </w:rPr>
      </w:pPr>
      <w:r w:rsidRPr="00BF221D">
        <w:rPr>
          <w:rFonts w:ascii="Arial" w:hAnsi="Arial" w:cs="Arial"/>
          <w:sz w:val="28"/>
          <w:szCs w:val="28"/>
        </w:rPr>
        <w:t>The </w:t>
      </w:r>
      <w:r w:rsidRPr="00BF221D">
        <w:rPr>
          <w:rFonts w:ascii="Arial" w:hAnsi="Arial" w:cs="Arial"/>
          <w:b/>
          <w:bCs/>
          <w:sz w:val="28"/>
          <w:szCs w:val="28"/>
        </w:rPr>
        <w:t>unified</w:t>
      </w:r>
      <w:r w:rsidRPr="00BF221D">
        <w:rPr>
          <w:rFonts w:ascii="Arial" w:hAnsi="Arial" w:cs="Arial"/>
          <w:sz w:val="28"/>
          <w:szCs w:val="28"/>
        </w:rPr>
        <w:t> law of </w:t>
      </w:r>
      <w:r w:rsidRPr="00BF221D">
        <w:rPr>
          <w:rFonts w:ascii="Arial" w:hAnsi="Arial" w:cs="Arial"/>
          <w:b/>
          <w:bCs/>
          <w:sz w:val="28"/>
          <w:szCs w:val="28"/>
        </w:rPr>
        <w:t xml:space="preserve">insurance protection extension for the Gulf Cooperation Council state citizens </w:t>
      </w:r>
      <w:r w:rsidRPr="00BF221D">
        <w:rPr>
          <w:rFonts w:ascii="Arial" w:hAnsi="Arial" w:cs="Arial"/>
          <w:sz w:val="28"/>
          <w:szCs w:val="28"/>
          <w:lang w:val="en-GB"/>
        </w:rPr>
        <w:t>Working Outside Their Countries in Any Member State of the Council</w:t>
      </w:r>
    </w:p>
    <w:sectPr w:rsidR="00847076" w:rsidRPr="00BF221D" w:rsidSect="00BF22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CC5B" w14:textId="77777777" w:rsidR="00B73E2E" w:rsidRDefault="00B73E2E" w:rsidP="00B509E6">
      <w:pPr>
        <w:spacing w:after="0" w:line="240" w:lineRule="auto"/>
      </w:pPr>
      <w:r>
        <w:separator/>
      </w:r>
    </w:p>
  </w:endnote>
  <w:endnote w:type="continuationSeparator" w:id="0">
    <w:p w14:paraId="1C2CD007" w14:textId="77777777" w:rsidR="00B73E2E" w:rsidRDefault="00B73E2E" w:rsidP="00B5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7B9" w14:textId="77777777" w:rsidR="00B509E6" w:rsidRDefault="00B50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AC7A" w14:textId="77777777" w:rsidR="00B509E6" w:rsidRDefault="00B50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A0CC" w14:textId="77777777" w:rsidR="00B509E6" w:rsidRDefault="00B50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23B3" w14:textId="77777777" w:rsidR="00B73E2E" w:rsidRDefault="00B73E2E" w:rsidP="00B509E6">
      <w:pPr>
        <w:spacing w:after="0" w:line="240" w:lineRule="auto"/>
      </w:pPr>
      <w:r>
        <w:separator/>
      </w:r>
    </w:p>
  </w:footnote>
  <w:footnote w:type="continuationSeparator" w:id="0">
    <w:p w14:paraId="7A3E9937" w14:textId="77777777" w:rsidR="00B73E2E" w:rsidRDefault="00B73E2E" w:rsidP="00B50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E3983" w14:textId="77777777" w:rsidR="00B509E6" w:rsidRDefault="00B50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C2DD" w14:textId="20EF8D59" w:rsidR="00B509E6" w:rsidRDefault="00B50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EB84" w14:textId="77777777" w:rsidR="00B509E6" w:rsidRDefault="00B50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B9"/>
    <w:rsid w:val="002014D7"/>
    <w:rsid w:val="00256D32"/>
    <w:rsid w:val="002F3ACE"/>
    <w:rsid w:val="00424588"/>
    <w:rsid w:val="0043297E"/>
    <w:rsid w:val="00696D16"/>
    <w:rsid w:val="006E3E8B"/>
    <w:rsid w:val="00736BE2"/>
    <w:rsid w:val="00745F5A"/>
    <w:rsid w:val="00847076"/>
    <w:rsid w:val="00890C89"/>
    <w:rsid w:val="0094136E"/>
    <w:rsid w:val="00A42EB9"/>
    <w:rsid w:val="00AC74B1"/>
    <w:rsid w:val="00B509E6"/>
    <w:rsid w:val="00B73E2E"/>
    <w:rsid w:val="00BF221D"/>
    <w:rsid w:val="00BF62A5"/>
    <w:rsid w:val="00CB5DD1"/>
    <w:rsid w:val="00E828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2610"/>
  <w15:docId w15:val="{52945B0B-76F1-40D7-A886-97BABFD5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B509E6"/>
    <w:pPr>
      <w:spacing w:after="0" w:line="240" w:lineRule="auto"/>
    </w:pPr>
  </w:style>
  <w:style w:type="paragraph" w:styleId="Header">
    <w:name w:val="header"/>
    <w:basedOn w:val="Normal"/>
    <w:link w:val="HeaderChar"/>
    <w:uiPriority w:val="99"/>
    <w:unhideWhenUsed/>
    <w:rsid w:val="00B50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9E6"/>
  </w:style>
  <w:style w:type="paragraph" w:styleId="Footer">
    <w:name w:val="footer"/>
    <w:basedOn w:val="Normal"/>
    <w:link w:val="FooterChar"/>
    <w:uiPriority w:val="99"/>
    <w:unhideWhenUsed/>
    <w:rsid w:val="00B50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9E6"/>
  </w:style>
  <w:style w:type="character" w:styleId="CommentReference">
    <w:name w:val="annotation reference"/>
    <w:basedOn w:val="DefaultParagraphFont"/>
    <w:uiPriority w:val="99"/>
    <w:semiHidden/>
    <w:unhideWhenUsed/>
    <w:rsid w:val="00AC74B1"/>
    <w:rPr>
      <w:sz w:val="16"/>
      <w:szCs w:val="16"/>
    </w:rPr>
  </w:style>
  <w:style w:type="paragraph" w:styleId="CommentText">
    <w:name w:val="annotation text"/>
    <w:basedOn w:val="Normal"/>
    <w:link w:val="CommentTextChar"/>
    <w:uiPriority w:val="99"/>
    <w:semiHidden/>
    <w:unhideWhenUsed/>
    <w:rsid w:val="00AC74B1"/>
    <w:pPr>
      <w:spacing w:line="240" w:lineRule="auto"/>
    </w:pPr>
    <w:rPr>
      <w:sz w:val="20"/>
      <w:szCs w:val="20"/>
    </w:rPr>
  </w:style>
  <w:style w:type="character" w:customStyle="1" w:styleId="CommentTextChar">
    <w:name w:val="Comment Text Char"/>
    <w:basedOn w:val="DefaultParagraphFont"/>
    <w:link w:val="CommentText"/>
    <w:uiPriority w:val="99"/>
    <w:semiHidden/>
    <w:rsid w:val="00AC74B1"/>
    <w:rPr>
      <w:sz w:val="20"/>
      <w:szCs w:val="20"/>
    </w:rPr>
  </w:style>
  <w:style w:type="paragraph" w:styleId="CommentSubject">
    <w:name w:val="annotation subject"/>
    <w:basedOn w:val="CommentText"/>
    <w:next w:val="CommentText"/>
    <w:link w:val="CommentSubjectChar"/>
    <w:uiPriority w:val="99"/>
    <w:semiHidden/>
    <w:unhideWhenUsed/>
    <w:rsid w:val="00AC74B1"/>
    <w:rPr>
      <w:b/>
      <w:bCs/>
    </w:rPr>
  </w:style>
  <w:style w:type="character" w:customStyle="1" w:styleId="CommentSubjectChar">
    <w:name w:val="Comment Subject Char"/>
    <w:basedOn w:val="CommentTextChar"/>
    <w:link w:val="CommentSubject"/>
    <w:uiPriority w:val="99"/>
    <w:semiHidden/>
    <w:rsid w:val="00AC74B1"/>
    <w:rPr>
      <w:b/>
      <w:bCs/>
      <w:sz w:val="20"/>
      <w:szCs w:val="20"/>
    </w:rPr>
  </w:style>
  <w:style w:type="paragraph" w:styleId="BalloonText">
    <w:name w:val="Balloon Text"/>
    <w:basedOn w:val="Normal"/>
    <w:link w:val="BalloonTextChar"/>
    <w:uiPriority w:val="99"/>
    <w:semiHidden/>
    <w:unhideWhenUsed/>
    <w:rsid w:val="00AC7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9c43f45e-605b-41e8-9851-5c0258edb1fe_1" sourcehash="1959776103" targethash="1215058822"/>
  <segment id="57d29452-32d6-451e-a261-69d7e2fd6443_2" sourcehash="891971302" targethash="891971302"/>
  <segment id="965ca426-d31f-45c2-a3c2-235fc0aa2dcd_3" sourcehash="891971301" targethash="891971301"/>
  <segment id="241317b6-50bd-4594-bed8-b9e6ad16d9de_4" sourcehash="891971300" targethash="891971300"/>
  <segment id="01ddff4d-0d42-4deb-9a33-93a9b01a82d1_5" sourcehash="-582146679" targethash="-275338385"/>
  <segment id="6a3c7143-4d0f-41d0-965c-f9de3e7e6bb2_6" sourcehash="1499032554" targethash="-429986840"/>
  <segment id="499aef30-4e2b-4c48-861b-ff91b38d08dd_7" sourcehash="-348200240" targethash="-1217723048"/>
  <segment id="889a89eb-ebd0-4695-b8fa-6462afba16f8_8" sourcehash="-1129757327" targethash="-1559931237"/>
  <segment id="2cabab6e-9a52-48bf-b72d-d5ba3b5a61db_9" sourcehash="-754926739" targethash="-563361886"/>
  <segment id="641d11e0-ae28-4790-a353-4e883726643c_10" sourcehash="1996602015" targethash="-2028444544"/>
  <segment id="f9b79914-a898-44b2-b5c4-db776d3b901d_11" sourcehash="1954720723" targethash="784081943"/>
  <segment id="2a7d8290-aca2-442a-87e4-deb90b74f986_12" sourcehash="1637061003" targethash="1875666643"/>
  <segment id="aeeda41e-410a-4089-8aee-561d4b9e7ef3_13" sourcehash="1581872827" targethash="1593159786"/>
  <segment id="7a632dea-8a73-49f5-a462-93a7fb8b61a1_14" sourcehash="1130249298" targethash="614674861"/>
  <segment id="01a7f9b3-fc42-4ae7-9d6a-ec529cb6a1d1_15" sourcehash="1410734851" targethash="-1006889668"/>
  <segment id="dbec8d2a-1aa8-4b61-8dc3-aee75cb57787_16" sourcehash="-327907491" targethash="2124194235"/>
  <segment id="903b0e4c-b2b0-4f93-b519-0ac174ca5583_17" sourcehash="-465830224" targethash="-950969919"/>
  <segment id="e2be5d4c-e507-45be-b3f2-68f66971c581_18" sourcehash="-924099071" targethash="1104886905"/>
  <segment id="ceca0660-3b96-46dc-a238-d3a6a8ced99c_19" sourcehash="-1021824100" targethash="-2318254"/>
  <segment id="2dca6766-de38-4de1-98a9-bd2dccab6c6b_20" sourcehash="-847378402" targethash="29849799"/>
  <segment id="3fa6c850-835d-40d3-a9b5-4006a6b1fdda_21" sourcehash="272054448" targethash="1223247177"/>
  <segment id="08bcfab4-f0a8-44a3-8d07-fecf2ebb0469_22" sourcehash="-1401157922" targethash="-1474572717"/>
  <segment id="2540769c-cf93-43f8-87f7-1670a5263750_23" sourcehash="2062237464" targethash="510304532"/>
  <segment id="01697daf-fc30-49bc-a37e-fbd162126cba_24" sourcehash="-2097027444" targethash="1167240724"/>
  <segment id="042e2a74-56f9-4725-98cf-437a002a6dcc_25" sourcehash="-1214455976" targethash="-728385602"/>
  <segment id="05b3ed10-b0d4-411e-bd0d-467b242de843_26" sourcehash="509384085" targethash="-585904411"/>
  <segment id="9c0d9de7-5df5-40f8-9bae-152e8d9bac36_27" sourcehash="2106388348" targethash="-376936576"/>
  <segment id="71b105e2-cd5c-438b-8a27-dddf88968305_28" sourcehash="-189031143" targethash="-457588515"/>
  <segment id="71b105e2-cd5c-438b-8a27-dddf88968305_29" sourcehash="-2046211207" targethash="-1271453661"/>
  <segment id="25802ac5-8ddc-482f-af64-4f97640b8510_30" sourcehash="-756854752" targethash="-808399559"/>
  <segment id="25802ac5-8ddc-482f-af64-4f97640b8510_31" sourcehash="1096160672" targethash="437048175"/>
  <segment id="e8939fe6-e2ba-4821-8e37-13571dc85c12_32" sourcehash="621212413" targethash="-1511612942"/>
  <segment id="a3e2add1-816a-4726-8f44-b607e0650db5_33" sourcehash="-1734992612" targethash="1897995366"/>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4</cp:revision>
  <dcterms:created xsi:type="dcterms:W3CDTF">2025-03-09T08:16:00Z</dcterms:created>
  <dcterms:modified xsi:type="dcterms:W3CDTF">2025-05-08T06:21:00Z</dcterms:modified>
</cp:coreProperties>
</file>