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7EAC" w14:textId="77777777" w:rsidR="00092BF6" w:rsidRPr="00092BF6" w:rsidRDefault="00092BF6" w:rsidP="00410904">
      <w:pPr>
        <w:spacing w:before="120" w:after="0" w:line="360" w:lineRule="auto"/>
        <w:rPr>
          <w:rFonts w:ascii="Arial" w:eastAsia="Times New Roman" w:hAnsi="Arial" w:cs="Arial"/>
          <w:b/>
          <w:bCs/>
          <w:sz w:val="28"/>
          <w:szCs w:val="28"/>
          <w:lang w:val="en-GB"/>
        </w:rPr>
      </w:pPr>
      <w:r w:rsidRPr="00092BF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3075BC1" w14:textId="77777777" w:rsidR="00092BF6" w:rsidRPr="00092BF6" w:rsidRDefault="00092BF6" w:rsidP="00410904">
      <w:pPr>
        <w:spacing w:before="120" w:after="0" w:line="360" w:lineRule="auto"/>
        <w:rPr>
          <w:rFonts w:ascii="Arial" w:eastAsia="Times New Roman" w:hAnsi="Arial" w:cs="Arial"/>
          <w:b/>
          <w:bCs/>
          <w:sz w:val="28"/>
          <w:szCs w:val="28"/>
          <w:lang w:val="en-GB"/>
        </w:rPr>
      </w:pPr>
      <w:r w:rsidRPr="00092BF6">
        <w:rPr>
          <w:rFonts w:ascii="Arial" w:eastAsia="Times New Roman" w:hAnsi="Arial" w:cs="Arial"/>
          <w:b/>
          <w:bCs/>
          <w:sz w:val="28"/>
          <w:szCs w:val="28"/>
          <w:lang w:val="en-GB"/>
        </w:rPr>
        <w:t>For any corrections, remarks, or suggestions, kindly contact us on translate@lloc.gov.bh</w:t>
      </w:r>
    </w:p>
    <w:p w14:paraId="7C58020E" w14:textId="77777777" w:rsidR="00092BF6" w:rsidRPr="00092BF6" w:rsidRDefault="00092BF6" w:rsidP="00410904">
      <w:pPr>
        <w:spacing w:before="120" w:after="0" w:line="360" w:lineRule="auto"/>
        <w:rPr>
          <w:rFonts w:ascii="Arial" w:eastAsia="Times New Roman" w:hAnsi="Arial" w:cs="Arial"/>
          <w:b/>
          <w:bCs/>
          <w:sz w:val="28"/>
          <w:szCs w:val="28"/>
          <w:lang w:val="en-GB"/>
        </w:rPr>
      </w:pPr>
      <w:r w:rsidRPr="00092BF6">
        <w:rPr>
          <w:rFonts w:ascii="Arial" w:eastAsia="Times New Roman" w:hAnsi="Arial" w:cs="Arial"/>
          <w:b/>
          <w:bCs/>
          <w:sz w:val="28"/>
          <w:szCs w:val="28"/>
          <w:lang w:val="en-GB"/>
        </w:rPr>
        <w:t>Published on the website on May 2024</w:t>
      </w:r>
      <w:r w:rsidRPr="00092BF6">
        <w:rPr>
          <w:rFonts w:ascii="Arial" w:eastAsia="Times New Roman" w:hAnsi="Arial" w:cs="Arial"/>
          <w:b/>
          <w:bCs/>
          <w:sz w:val="28"/>
          <w:szCs w:val="28"/>
          <w:lang w:val="en-GB"/>
        </w:rPr>
        <w:br w:type="page"/>
      </w:r>
    </w:p>
    <w:p w14:paraId="5753D888"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lastRenderedPageBreak/>
        <w:t>Law No. (56) of 2012 approving the Accession of the Kingdom of Bahrain to the Convention Abolishing the Requirement of Legalization for Foreign Public Documents </w:t>
      </w:r>
    </w:p>
    <w:p w14:paraId="46A6C69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br w:type="page"/>
      </w:r>
    </w:p>
    <w:p w14:paraId="071CE832"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We, Hamad bin Isa Al Khalifa, King of the Kingdom of Bahrain. </w:t>
      </w:r>
    </w:p>
    <w:p w14:paraId="7B04842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Having reviewed the Constitution; </w:t>
      </w:r>
    </w:p>
    <w:p w14:paraId="774DC82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And the Convention Abolishing the Requirement of Legalisation for Foreign Public Documents, </w:t>
      </w:r>
    </w:p>
    <w:p w14:paraId="7E040B7B"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Shura Council and the Council of Representatives have approved the following law, which we have ratified and enacted: </w:t>
      </w:r>
    </w:p>
    <w:p w14:paraId="7C395801"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One </w:t>
      </w:r>
    </w:p>
    <w:p w14:paraId="3EF214FA"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It has been approved the accession of the Kingdom of Bahrain to the Convention Abolishing the Requirement of Legalisation for Foreign Public Documents drawn up in The Hague on 5 October 1961 which is attached to this law. </w:t>
      </w:r>
    </w:p>
    <w:p w14:paraId="681B82F9"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Two </w:t>
      </w:r>
    </w:p>
    <w:p w14:paraId="027C8797"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7E6A6C5E"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King of the Kingdom of Bahrain </w:t>
      </w:r>
    </w:p>
    <w:p w14:paraId="53CC3B0D"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Hamad bin Isa Al Khalifa, </w:t>
      </w:r>
    </w:p>
    <w:p w14:paraId="5D0237AA"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Issued at Riffa Palace </w:t>
      </w:r>
    </w:p>
    <w:p w14:paraId="391E5BB6"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On: 17 Safar 1434 A.H. </w:t>
      </w:r>
    </w:p>
    <w:p w14:paraId="5CB11E9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Corresponding to: 30 December 2012 </w:t>
      </w:r>
    </w:p>
    <w:p w14:paraId="11F09AD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Convention Abolishing the Requirement of Legalisation for Foreign Public Documents drawn up in The Hague on 5 October 1961 </w:t>
      </w:r>
    </w:p>
    <w:p w14:paraId="56722012"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States signatory to the present Convention, Desiring to abolish the requirement of diplomatic or consular Legalisation for foreign public documents, </w:t>
      </w:r>
    </w:p>
    <w:p w14:paraId="7345422E"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Have resolved to conclude a Convention to this effect and have agreed upon the following provisions: </w:t>
      </w:r>
    </w:p>
    <w:p w14:paraId="4308D147"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(1) </w:t>
      </w:r>
    </w:p>
    <w:p w14:paraId="4451604B"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This present Convention shall apply to public documents issued in the territory of one Contracting State and produced in the territory of another Contracting State. </w:t>
      </w:r>
    </w:p>
    <w:p w14:paraId="00E7EC6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For the purposes of the present Convention, the following are deemed to be public documents: </w:t>
      </w:r>
    </w:p>
    <w:p w14:paraId="5C63CB28"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 Documents issued by a public authority or an official connected with the State courts or tribunals, including those issued by a public prosecutor, a clerk of a court or a process server. </w:t>
      </w:r>
    </w:p>
    <w:p w14:paraId="7B75A4C8"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b) administrative documents. </w:t>
      </w:r>
    </w:p>
    <w:p w14:paraId="6B3F7D7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c) notarization Acts. </w:t>
      </w:r>
    </w:p>
    <w:p w14:paraId="7DBE604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d) official certificates which are placed on documents signed by individuals in their personal capacity, such as official certificates recording the registration of a document or the fact that it was in existence on a certain date, as well as official and notarial authentications of signatures. </w:t>
      </w:r>
    </w:p>
    <w:p w14:paraId="0B7F85D8"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However, the present Convention shall not apply: </w:t>
      </w:r>
    </w:p>
    <w:p w14:paraId="363E560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 to documents executed by diplomatic or consular agents; </w:t>
      </w:r>
    </w:p>
    <w:p w14:paraId="107845D5"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b) to administrative documents dealing directly with commercial or customs operations. </w:t>
      </w:r>
    </w:p>
    <w:p w14:paraId="711BC1A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(2) </w:t>
      </w:r>
    </w:p>
    <w:p w14:paraId="50E25773"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Each Contracting State shall exempt from legalisation documents to which the present Convention applies and which have to be produced in its territory. For the purposes of the present Convention, legalisation means only the formality by which the diplomatic or consular agents of the country in which the document has to be produced certify the authenticity of the signature, the capacity in which the person signing the document has acted and, where appropriate, the identity of the seal or stamp which it bears. </w:t>
      </w:r>
    </w:p>
    <w:p w14:paraId="1641C0CE"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(3) </w:t>
      </w:r>
    </w:p>
    <w:p w14:paraId="738E5322"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only procedure required in order to certify the authenticity of the signature, the capacity in which the person signing the document has acted and, where appropriate, the identity of the seal or stamp which it bears, is the addition of the certificate described in Article (4), issued by the competent authority of the State from which the document emanates. However, the formality mentioned in the preceding paragraph cannot be required when either the laws, regulations, or practice in force in the State where the document is produced or an agreement between two or more Contracting States have abolished or simplified it, or exempt the document itself from authentication. </w:t>
      </w:r>
    </w:p>
    <w:p w14:paraId="3618375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(4) </w:t>
      </w:r>
    </w:p>
    <w:p w14:paraId="5A0ECA8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certificate referred to in the first paragraph of Article (3) shall be placed on the document itself or on its appendix; it shall be in the form of the model annexed to the present Convention. </w:t>
      </w:r>
    </w:p>
    <w:p w14:paraId="047DA945"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It may, however, be drawn up in the official language of the authority which issues it. The standard terms appearing therein may be in a second language also. The title "Apostille (Convention de La Haye du 5 Octobre 1961)" shall be in the French language. </w:t>
      </w:r>
    </w:p>
    <w:p w14:paraId="63D35CF5"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(5) </w:t>
      </w:r>
    </w:p>
    <w:p w14:paraId="3EA2193E"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certificate shall be issued at the request of the person who has signed the document or of any bearer. When properly filled in, it will certify the authenticity of the signature, the capacity in which the person signing the document has acted and, where appropriate, the identity of the seal or stamp which the document bears. The signature, seal and stamp on the certificate are exempt from all certification. </w:t>
      </w:r>
    </w:p>
    <w:p w14:paraId="6BAF2B2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(6) </w:t>
      </w:r>
    </w:p>
    <w:p w14:paraId="3A164F08"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Each Contracting State shall designate by reference to their official function, the authorities who are competent to issue the certificate referred to in the first paragraph of Article (3). It shall give notice of such designation to the Ministry of Foreign Affairs of the Netherlands at the time it deposits its instrument of Ratification or of accession or its declaration of extension. It shall also give notice of any change in the designated authorities. </w:t>
      </w:r>
    </w:p>
    <w:p w14:paraId="04E2A8AC"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(7) </w:t>
      </w:r>
    </w:p>
    <w:p w14:paraId="066D7BE5"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Each of the authorities designated in accordance with Article (6) shall keep a register or card index in which it shall record the certificates issued, specifying: </w:t>
      </w:r>
    </w:p>
    <w:p w14:paraId="3136B68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 the number and date of the certificate, </w:t>
      </w:r>
    </w:p>
    <w:p w14:paraId="1B04B3E2"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b) the name of the person signing the public document and the capacity in which he has acted, or in the case of unsigned documents, the name of the authority which has affixed the seal or stamp. </w:t>
      </w:r>
    </w:p>
    <w:p w14:paraId="1E7594FC"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At the request of any interested person, the authority which has issued the certificate shall verify whether the particulars in the certificate correspond with those in the register or card index. </w:t>
      </w:r>
    </w:p>
    <w:p w14:paraId="1FE13DA6"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(8) </w:t>
      </w:r>
    </w:p>
    <w:p w14:paraId="1F06C25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When a treaty, convention or agreement between two or more Contracting States contains provisions which subject the certification of a signature, seal or stamp to certain formalities, the present Convention will only override such provisions if those formalities are more rigorous than the formality referred to in Articles (3 and 4). </w:t>
      </w:r>
    </w:p>
    <w:p w14:paraId="6159CCC2"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(9) </w:t>
      </w:r>
    </w:p>
    <w:p w14:paraId="4D1109D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Each Contracting State shall take the necessary steps to prevent the performance of legalisations by its diplomatic or consular agents in cases where the present Convention provides for exemption. </w:t>
      </w:r>
    </w:p>
    <w:p w14:paraId="21B25A83"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(10) </w:t>
      </w:r>
    </w:p>
    <w:p w14:paraId="52472749"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present Convention shall be open for signature by the States represented at the Ninth Session of the Hague Conference on Private International Law and Iceland, Ireland, Liechtenstein and Turkey. It shall be ratified, and the instruments of authentications shall be deposited with the Ministry of Foreign Affairs of the Netherlands. </w:t>
      </w:r>
    </w:p>
    <w:p w14:paraId="0EBAF13E"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(11) </w:t>
      </w:r>
    </w:p>
    <w:p w14:paraId="34C58335"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present Convention shall enter into force on the sixtieth day after the deposit of the third instrument of Ratification referred to in the second paragraph of Article (10). </w:t>
      </w:r>
    </w:p>
    <w:p w14:paraId="18475E2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Convention shall enter into force for each signatory State which ratifies subsequently on the sixtieth day after the deposit of its instrument of authentication. </w:t>
      </w:r>
    </w:p>
    <w:p w14:paraId="04F2AB4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(12) </w:t>
      </w:r>
    </w:p>
    <w:p w14:paraId="6CA05D83"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Any State not referred to in Article (10) may accede to the present Convention after it has entered into force in accordance with the first paragraph of Article (11). The instrument of Ratification shall be deposited with the Ministry of Foreign Affairs of the Netherlands. </w:t>
      </w:r>
    </w:p>
    <w:p w14:paraId="5F304B52"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Such accession shall have effect only as regards the relations between the acceding State and those Contracting States which have not raised an objection to its accession in the six months after the receipt of the notification referred to in sub-paragraph (d) of Article (15). Any such objection shall be notified to the Ministry of Foreign Affairs of the Netherlands. </w:t>
      </w:r>
    </w:p>
    <w:p w14:paraId="5AC675C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Convention shall enter into force as between the acceding State and the States which have raised no objection to its accession on the sixtieth day after the expiry of the period of six months mentioned in the preceding paragraph. </w:t>
      </w:r>
    </w:p>
    <w:p w14:paraId="0AA26B0E"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(13) </w:t>
      </w:r>
    </w:p>
    <w:p w14:paraId="13F1BE4C"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Any State may, at the time of signature, ratification or accession, declare that the present Convention shall extend to all the territories for the international relations of which it is responsible, or to one or more of them. Such a declaration shall take effect on the date of entry into force of the Convention for the State concerned. </w:t>
      </w:r>
    </w:p>
    <w:p w14:paraId="3C1E24A7"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At any time thereafter, such extensions shall be notified to the Ministry of Foreign Affairs of the Netherlands. </w:t>
      </w:r>
    </w:p>
    <w:p w14:paraId="6B70F99A"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When the declaration of extension is made by a State which has signed and ratified, the Convention shall enter into force for the territories concerned in accordance with Article (12). </w:t>
      </w:r>
    </w:p>
    <w:p w14:paraId="6824681A"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(14) </w:t>
      </w:r>
    </w:p>
    <w:p w14:paraId="57BAA1A8"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present Convention shall remain in force for five (5) years from the date of its entry into force in accordance with the first paragraph of Article (11), even for States which have ratified it or acceded to it subsequently. </w:t>
      </w:r>
    </w:p>
    <w:p w14:paraId="2DD89FAC"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If there has been no denunciation, the Convention shall be renewed tacitly every five years. </w:t>
      </w:r>
    </w:p>
    <w:p w14:paraId="6A7243B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Any denunciation shall be notified to the Ministry of Foreign Affairs of the Netherlands at least six months before the end of the five year period. </w:t>
      </w:r>
    </w:p>
    <w:p w14:paraId="3C9C2F66"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denunciation may be limited to certain of the territories to which the Convention applies. </w:t>
      </w:r>
    </w:p>
    <w:p w14:paraId="4ED3422E"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denunciation will only have effect as regards the State which has notified it. The Convention shall remain in force for the other Contracting States. </w:t>
      </w:r>
    </w:p>
    <w:p w14:paraId="199ECEA8"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Article (15) </w:t>
      </w:r>
    </w:p>
    <w:p w14:paraId="7C6AC4BD"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Ministry of Foreign Affairs of the Netherlands shall give notice to the States referred to in Article (10), and to the States which have acceded in accordance with Article (12), of the following: </w:t>
      </w:r>
    </w:p>
    <w:p w14:paraId="270A925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 the notifications referred to in the second paragraph of Article (6). </w:t>
      </w:r>
    </w:p>
    <w:p w14:paraId="5B9C6A2B"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b) the signatures and ratifications referred to in Article (10). </w:t>
      </w:r>
    </w:p>
    <w:p w14:paraId="1AA1E2AB"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c) the date on which the present Convention enters into force in accordance with the first paragraph of Article (11). </w:t>
      </w:r>
    </w:p>
    <w:p w14:paraId="4F8174F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d) the accessions and objections referred to in Article (12) and the date on which such accessions take effect. </w:t>
      </w:r>
    </w:p>
    <w:p w14:paraId="34700B95"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e) the extensions referred to in Article (13) and the date on which they take effect. </w:t>
      </w:r>
    </w:p>
    <w:p w14:paraId="4979184A"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f) the denunciations referred to in the third paragraph of Article (14). </w:t>
      </w:r>
    </w:p>
    <w:p w14:paraId="45A59B76"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In witness whereof the undersigned, being duly authorised thereto, have signed the present Convention. </w:t>
      </w:r>
    </w:p>
    <w:p w14:paraId="7D49C9C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Done at The Hague the 5 October 1961, in French and in English, the French text prevailing in case of divergence between the two texts, in a single copy which shall be deposited in the archives of the Government of the Netherlands. And of which a certified copy shall be sent, through the diplomatic channel, to each of the States represented at the Ninth Session of the Hague Conference on Private International Law and also to Iceland, Ireland, Liechtenstein and Turkey. </w:t>
      </w:r>
    </w:p>
    <w:p w14:paraId="12CE647C"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Attached to the Convention </w:t>
      </w:r>
    </w:p>
    <w:p w14:paraId="12F19B5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b/>
          <w:bCs/>
          <w:sz w:val="28"/>
          <w:szCs w:val="28"/>
          <w:lang w:val="en-GB"/>
        </w:rPr>
        <w:t>Certificate form </w:t>
      </w:r>
    </w:p>
    <w:p w14:paraId="59E0946B"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certificate shall be in the form of a square with sides of at least 9 centimetres. </w:t>
      </w:r>
    </w:p>
    <w:p w14:paraId="17AAC1D6"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Apostille </w:t>
      </w:r>
    </w:p>
    <w:p w14:paraId="0CDAF6FA"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(The Hague Convention of 5 October 1961) </w:t>
      </w:r>
    </w:p>
    <w:p w14:paraId="47418C31"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1. The country: </w:t>
      </w:r>
    </w:p>
    <w:p w14:paraId="38AC168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This is a public document </w:t>
      </w:r>
    </w:p>
    <w:p w14:paraId="3CEA2EDC"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2. Signed by........................................................ </w:t>
      </w:r>
    </w:p>
    <w:p w14:paraId="7F148FA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3. In his capacity of: .......................... </w:t>
      </w:r>
    </w:p>
    <w:p w14:paraId="52D6E7EF"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4. bearing the seal/stamp of .................... </w:t>
      </w:r>
    </w:p>
    <w:p w14:paraId="198C8A94"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 </w:t>
      </w:r>
    </w:p>
    <w:p w14:paraId="3FACFF92"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Ratified </w:t>
      </w:r>
    </w:p>
    <w:p w14:paraId="6AD55988"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5. On: …………………………………… 6. ......................... </w:t>
      </w:r>
    </w:p>
    <w:p w14:paraId="15D899EA"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7. By:…………………………………… </w:t>
      </w:r>
    </w:p>
    <w:p w14:paraId="319561E0"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 </w:t>
      </w:r>
    </w:p>
    <w:p w14:paraId="4AD8AD3C"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8. ................................. </w:t>
      </w:r>
    </w:p>
    <w:p w14:paraId="757AAEFC"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 </w:t>
      </w:r>
    </w:p>
    <w:p w14:paraId="7E97F1BA"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9. Seal / Stamp: </w:t>
      </w:r>
    </w:p>
    <w:p w14:paraId="26217A43"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10. Signature </w:t>
      </w:r>
    </w:p>
    <w:p w14:paraId="6D5C2265" w14:textId="77777777" w:rsidR="00092BF6" w:rsidRPr="00092BF6" w:rsidRDefault="00092BF6" w:rsidP="00410904">
      <w:pPr>
        <w:spacing w:before="120" w:after="0" w:line="360" w:lineRule="auto"/>
        <w:rPr>
          <w:rFonts w:ascii="Arial" w:eastAsia="Times New Roman" w:hAnsi="Arial" w:cs="Arial"/>
          <w:sz w:val="28"/>
          <w:szCs w:val="28"/>
          <w:lang w:val="en-GB"/>
        </w:rPr>
      </w:pPr>
      <w:r w:rsidRPr="00092BF6">
        <w:rPr>
          <w:rFonts w:ascii="Arial" w:eastAsia="Times New Roman" w:hAnsi="Arial" w:cs="Arial"/>
          <w:sz w:val="28"/>
          <w:szCs w:val="28"/>
          <w:lang w:val="en-GB"/>
        </w:rPr>
        <w:t>.............................. .............................. </w:t>
      </w:r>
    </w:p>
    <w:p w14:paraId="02A07687" w14:textId="77777777" w:rsidR="00092BF6" w:rsidRPr="00092BF6" w:rsidRDefault="00092BF6" w:rsidP="00410904">
      <w:pPr>
        <w:spacing w:before="120" w:after="0" w:line="360" w:lineRule="auto"/>
        <w:rPr>
          <w:rFonts w:ascii="Arial" w:hAnsi="Arial" w:cs="Arial"/>
          <w:sz w:val="28"/>
          <w:szCs w:val="28"/>
        </w:rPr>
      </w:pPr>
    </w:p>
    <w:sectPr w:rsidR="00092BF6" w:rsidRPr="00092BF6" w:rsidSect="00C85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F6"/>
    <w:rsid w:val="000129C5"/>
    <w:rsid w:val="00092BF6"/>
    <w:rsid w:val="00410904"/>
    <w:rsid w:val="00521F4E"/>
    <w:rsid w:val="00815AD9"/>
    <w:rsid w:val="00C855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0E41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