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41C18" w14:textId="77777777" w:rsidR="00EE1778" w:rsidRPr="00EE1778" w:rsidRDefault="00EE1778" w:rsidP="00B5182B">
      <w:pPr>
        <w:spacing w:before="120" w:after="0" w:line="360" w:lineRule="auto"/>
        <w:rPr>
          <w:rFonts w:ascii="Arial" w:eastAsia="Times New Roman" w:hAnsi="Arial" w:cs="Arial"/>
          <w:b/>
          <w:bCs/>
          <w:sz w:val="28"/>
          <w:szCs w:val="28"/>
          <w:lang w:eastAsia="fr-FR"/>
        </w:rPr>
      </w:pPr>
      <w:r w:rsidRPr="00EE1778">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9D6835C" w14:textId="77777777" w:rsidR="00EE1778" w:rsidRPr="00EE1778" w:rsidRDefault="00EE1778" w:rsidP="00B5182B">
      <w:pPr>
        <w:spacing w:before="120" w:after="0" w:line="360" w:lineRule="auto"/>
        <w:rPr>
          <w:rFonts w:ascii="Arial" w:eastAsia="Times New Roman" w:hAnsi="Arial" w:cs="Arial"/>
          <w:b/>
          <w:bCs/>
          <w:sz w:val="28"/>
          <w:szCs w:val="28"/>
          <w:lang w:eastAsia="fr-FR"/>
        </w:rPr>
      </w:pPr>
      <w:r w:rsidRPr="00EE1778">
        <w:rPr>
          <w:rFonts w:ascii="Arial" w:eastAsia="Times New Roman" w:hAnsi="Arial" w:cs="Arial"/>
          <w:b/>
          <w:bCs/>
          <w:sz w:val="28"/>
          <w:szCs w:val="28"/>
          <w:lang w:eastAsia="fr-FR"/>
        </w:rPr>
        <w:t>For any corrections, remarks, or suggestions, kindly contact us on translate@lloc.gov.bh</w:t>
      </w:r>
    </w:p>
    <w:p w14:paraId="457A3491" w14:textId="77777777" w:rsidR="00EE1778" w:rsidRPr="00EE1778" w:rsidRDefault="00EE1778" w:rsidP="00B5182B">
      <w:pPr>
        <w:spacing w:before="120" w:after="0" w:line="360" w:lineRule="auto"/>
        <w:rPr>
          <w:rFonts w:ascii="Arial" w:eastAsia="Times New Roman" w:hAnsi="Arial" w:cs="Arial"/>
          <w:b/>
          <w:bCs/>
          <w:sz w:val="28"/>
          <w:szCs w:val="28"/>
          <w:lang w:eastAsia="fr-FR"/>
        </w:rPr>
      </w:pPr>
      <w:r w:rsidRPr="00EE1778">
        <w:rPr>
          <w:rFonts w:ascii="Arial" w:eastAsia="Times New Roman" w:hAnsi="Arial" w:cs="Arial"/>
          <w:b/>
          <w:bCs/>
          <w:sz w:val="28"/>
          <w:szCs w:val="28"/>
          <w:lang w:eastAsia="fr-FR"/>
        </w:rPr>
        <w:t>Published on the website on May 2024</w:t>
      </w:r>
      <w:r w:rsidRPr="00EE1778">
        <w:rPr>
          <w:rFonts w:ascii="Arial" w:eastAsia="Times New Roman" w:hAnsi="Arial" w:cs="Arial"/>
          <w:b/>
          <w:bCs/>
          <w:sz w:val="28"/>
          <w:szCs w:val="28"/>
          <w:lang w:eastAsia="fr-FR"/>
        </w:rPr>
        <w:br w:type="page"/>
      </w:r>
    </w:p>
    <w:p w14:paraId="7C3F77D6" w14:textId="77777777" w:rsidR="00EE1778" w:rsidRPr="00EE1778" w:rsidRDefault="00EE1778" w:rsidP="00B5182B">
      <w:pPr>
        <w:spacing w:before="120" w:after="0" w:line="360" w:lineRule="auto"/>
        <w:jc w:val="center"/>
        <w:rPr>
          <w:rFonts w:ascii="Arial" w:eastAsia="Times New Roman" w:hAnsi="Arial" w:cs="Arial"/>
          <w:sz w:val="28"/>
          <w:szCs w:val="28"/>
          <w:lang w:eastAsia="fr-FR"/>
        </w:rPr>
      </w:pPr>
      <w:r w:rsidRPr="00EE1778">
        <w:rPr>
          <w:rFonts w:ascii="Arial" w:eastAsia="Times New Roman" w:hAnsi="Arial" w:cs="Arial"/>
          <w:b/>
          <w:bCs/>
          <w:sz w:val="28"/>
          <w:szCs w:val="28"/>
          <w:lang w:eastAsia="fr-FR"/>
        </w:rPr>
        <w:lastRenderedPageBreak/>
        <w:t>Law No. (55) of 2014 approving the Unified Statute for Extending Insurance Protection to Military Personnel who are Nationals of the Gulf Cooperation Council Countries Gulf working in Countries other than their own in Any Member State of the Council</w:t>
      </w:r>
    </w:p>
    <w:p w14:paraId="29E552CA"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br w:type="page"/>
      </w:r>
    </w:p>
    <w:p w14:paraId="5DA5E792"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We Hamad bin Isa Al-Khalifa, King of the Kingdom of Bahrain </w:t>
      </w:r>
    </w:p>
    <w:p w14:paraId="40B1C439"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Having reviewed the Constitution; </w:t>
      </w:r>
    </w:p>
    <w:p w14:paraId="7EC1A608"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Law No. (13) of 1975 regarding Retirement Pensions and Gratuities for Government Employees, as amended; </w:t>
      </w:r>
    </w:p>
    <w:p w14:paraId="660B6D40"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Law Regulating Retirement Pensions and Gratuities for Officers and Personnel of the Bahrain Defence Force and Public Security, promulgated by Legislative Decree No. (11) of 1976, as amended; </w:t>
      </w:r>
    </w:p>
    <w:p w14:paraId="5F6B2343"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Legislative Decree No. (3) of 1982 regarding Public Security Forces, as amended; </w:t>
      </w:r>
    </w:p>
    <w:p w14:paraId="2C34BA93"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Legislative Decree No. (6) of 1991 Establishing the Retirement Fund for Personnel and Officers of the Bahrain Defence Force, Public Security Force, Bahrainis and non-Bahrainis; </w:t>
      </w:r>
    </w:p>
    <w:p w14:paraId="7DE66F31"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National Guard Law promulgated by Legislative Decree No. (20) of 2000, as amended by Legislative Decree No. (38) of 2002; </w:t>
      </w:r>
    </w:p>
    <w:p w14:paraId="0C44AA2F"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Bahrain Defence Force Law promulgated by Legislative Decree No. (32) of 2002; </w:t>
      </w:r>
    </w:p>
    <w:p w14:paraId="41417875"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Legislative Decree No. (39) of 2002 regarding the General Budget as amended; </w:t>
      </w:r>
    </w:p>
    <w:p w14:paraId="07B700DE"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Legislative Decree No. (47) of 2010 regarding the Management and Powers of the Retirement Fund for Personnel and Officers of the Bahrain Defence Force, Public Security Force, Bahrainis and non-Bahrainis established under Legislative Decree No. (6) of 1991; </w:t>
      </w:r>
    </w:p>
    <w:p w14:paraId="12A8E864"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Decree No. (14) of 2002 regarding the establishment of the National Security Agency, as amended; </w:t>
      </w:r>
    </w:p>
    <w:p w14:paraId="74E81074"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And Decision of the Supreme Council of the Gulf Cooperation Council Member States during its thirty-first session held in Abu Dhabi (December 2010) regarding the approval of the Unified Statute for Extending Insurance Protection to Military Personnel who are Nationals of the Gulf Cooperation Council Countries Gulf working in Countries other than their own in Any Member State of the Council, </w:t>
      </w:r>
    </w:p>
    <w:p w14:paraId="05CC20F7"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The Shura Council and the Council of Representatives have approved the following law, which we have ratified and enacted: </w:t>
      </w:r>
    </w:p>
    <w:p w14:paraId="031949B9"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b/>
          <w:bCs/>
          <w:sz w:val="28"/>
          <w:szCs w:val="28"/>
          <w:lang w:eastAsia="fr-FR"/>
        </w:rPr>
        <w:t>Article One </w:t>
      </w:r>
    </w:p>
    <w:p w14:paraId="7C2DF533"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The Unified Statute for Extending Insurance Protection to Military Personnel who are Nationals of the Gulf Cooperation Council Countries Gulf working in Countries other than their own in Any Member State of the Council adopted by a decision of the Supreme Council of the Gulf Cooperation Council during its thirty-first session held in Abu Dhabi on 7 and 6 December, 2010, attached to this Law has been approved and shall come into effect as of 7 June 2011. </w:t>
      </w:r>
    </w:p>
    <w:p w14:paraId="0A24B22C"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b/>
          <w:bCs/>
          <w:sz w:val="28"/>
          <w:szCs w:val="28"/>
          <w:lang w:eastAsia="fr-FR"/>
        </w:rPr>
        <w:t>Article Two </w:t>
      </w:r>
    </w:p>
    <w:p w14:paraId="3CD40A24"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For the provisions of the Law Regulating Retirement Pensions and Gratuities for Officers and Personnel of the Bahrain Defence Force and Public Security, promulgated by Legislative Decree No. (11) of 1976 to apply to Bahraini nationals employed in military positions in any military entity in one of the Gulf Cooperation Council member states, it is required that the terms of recruitment and employment applicable in the military entity in the Kingdom of Bahrain, corresponding to the military entity in the host country, be applicable to him, and he shall obtain prior approval from the same military entity in the Kingdom of Bahrain. </w:t>
      </w:r>
    </w:p>
    <w:p w14:paraId="2D95DDD9"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b/>
          <w:bCs/>
          <w:sz w:val="28"/>
          <w:szCs w:val="28"/>
          <w:lang w:eastAsia="fr-FR"/>
        </w:rPr>
        <w:t>Article Three </w:t>
      </w:r>
    </w:p>
    <w:p w14:paraId="696C8E58"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The monthly contribution paid to the Military Retirement Fund shall not be less than the contribution of any officer or personnel member receiving a monthly salary equivalent to the minimum salary of military personnel in the Kingdom of Bahrain. Moreover, the salary of the officer or personnel on which the contribution is based shall not exceed the highest limit of the rank that the officer holds in the officers' salary scale or the highest limit of the rank that the personnel member holds in the personnel salary scale applied in the Kingdom of Bahrain. </w:t>
      </w:r>
    </w:p>
    <w:p w14:paraId="049DAEDF"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b/>
          <w:bCs/>
          <w:sz w:val="28"/>
          <w:szCs w:val="28"/>
          <w:lang w:eastAsia="fr-FR"/>
        </w:rPr>
        <w:t>Article Four </w:t>
      </w:r>
    </w:p>
    <w:p w14:paraId="304A5FE1"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The entitlements of military personnel who are nationals of the Gulf Cooperation Council countries and are working as military personnel in the Kingdom of Bahrain are considered settled for the period of their participation in the End of Service Reward regulation issued by the decision of the Prime Minister No. (16) of 1987, assuming the termination of their service on 6 June 2011. </w:t>
      </w:r>
    </w:p>
    <w:p w14:paraId="304CFD6D"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b/>
          <w:bCs/>
          <w:sz w:val="28"/>
          <w:szCs w:val="28"/>
          <w:lang w:eastAsia="fr-FR"/>
        </w:rPr>
        <w:t>Article Five </w:t>
      </w:r>
    </w:p>
    <w:p w14:paraId="14A30B67"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the President of the Supreme Council of the Military Retirement Fund shall issue the necessary executive decisions for the implementation of the provisions of the regulation attached to this Law. </w:t>
      </w:r>
    </w:p>
    <w:p w14:paraId="4DF928DD"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b/>
          <w:bCs/>
          <w:sz w:val="28"/>
          <w:szCs w:val="28"/>
          <w:lang w:eastAsia="fr-FR"/>
        </w:rPr>
        <w:t>Article Six </w:t>
      </w:r>
    </w:p>
    <w:p w14:paraId="6AA173D5"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All provisions that contradict the provisions of the regulation attached to this Law shall be repealed. </w:t>
      </w:r>
    </w:p>
    <w:p w14:paraId="4EE5B281"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b/>
          <w:bCs/>
          <w:sz w:val="28"/>
          <w:szCs w:val="28"/>
          <w:lang w:eastAsia="fr-FR"/>
        </w:rPr>
        <w:t>Article Seven </w:t>
      </w:r>
    </w:p>
    <w:p w14:paraId="5CFDEFEE"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The Commander-in-Chief of the Bahrain Defence Force, the Minister of Interior, the Chief of the National Guard, the Head of the National Security Agency and the ministers -each within his jurisdiction- shall implement the provisions of this Law, and it shall be published in the Official Gazette. </w:t>
      </w:r>
    </w:p>
    <w:p w14:paraId="14EA5AF9"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King of the Kingdom of Bahrain </w:t>
      </w:r>
    </w:p>
    <w:p w14:paraId="7DB0D04E"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Hamad bin Isa Al Khalifa </w:t>
      </w:r>
    </w:p>
    <w:p w14:paraId="033435FA"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Issued at Riffa Palace </w:t>
      </w:r>
    </w:p>
    <w:p w14:paraId="05077232"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On 26 Dhu al-Qi'dah 1435 A.H. </w:t>
      </w:r>
    </w:p>
    <w:p w14:paraId="09B48864"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Corresponding to 21 September 2014 </w:t>
      </w:r>
    </w:p>
    <w:p w14:paraId="6DE10C7A"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b/>
          <w:bCs/>
          <w:sz w:val="28"/>
          <w:szCs w:val="28"/>
          <w:u w:val="single"/>
          <w:lang w:eastAsia="fr-FR"/>
        </w:rPr>
        <w:t>The Unified Statute for Extending Insurance Protection to Military Personnel who are Nationals of the Gulf Cooperation Council Countries Gulf working in Countries other than their own in Any Member State of the Council </w:t>
      </w:r>
    </w:p>
    <w:p w14:paraId="6DA8A30D"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b/>
          <w:bCs/>
          <w:sz w:val="28"/>
          <w:szCs w:val="28"/>
          <w:u w:val="single"/>
          <w:lang w:eastAsia="fr-FR"/>
        </w:rPr>
        <w:t>Part One </w:t>
      </w:r>
    </w:p>
    <w:p w14:paraId="798410E5"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b/>
          <w:bCs/>
          <w:sz w:val="28"/>
          <w:szCs w:val="28"/>
          <w:u w:val="single"/>
          <w:lang w:eastAsia="fr-FR"/>
        </w:rPr>
        <w:t>Definitions, General Provisions, and Scope of Application </w:t>
      </w:r>
    </w:p>
    <w:p w14:paraId="5A89260A"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b/>
          <w:bCs/>
          <w:sz w:val="28"/>
          <w:szCs w:val="28"/>
          <w:u w:val="single"/>
          <w:lang w:eastAsia="fr-FR"/>
        </w:rPr>
        <w:t>Article (1) </w:t>
      </w:r>
    </w:p>
    <w:p w14:paraId="5A85296B"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b/>
          <w:bCs/>
          <w:sz w:val="28"/>
          <w:szCs w:val="28"/>
          <w:lang w:eastAsia="fr-FR"/>
        </w:rPr>
        <w:t>In applying the provisions of this Statute, words and expressions shall have the following meanings: </w:t>
      </w:r>
    </w:p>
    <w:p w14:paraId="4192DB44"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Statute: The Unified Statute for Extending Insurance Protection to Military Personnel who are Nationals of the Gulf Cooperation Council Countries Gulf working in Countries other than their own in Any Member State of the Council. </w:t>
      </w:r>
    </w:p>
    <w:p w14:paraId="39F2A109"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Council: The Gulf Cooperation Council. </w:t>
      </w:r>
    </w:p>
    <w:p w14:paraId="2C18AE3D"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Council States: The member states of the Gulf Cooperation Council. </w:t>
      </w:r>
    </w:p>
    <w:p w14:paraId="49E11714"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Host State: One of the Council States where the military personnel subject to this Statute works. </w:t>
      </w:r>
    </w:p>
    <w:p w14:paraId="5B3F2797"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Citizenship State: One of the Council States of which the military personnel hold citizenship. </w:t>
      </w:r>
    </w:p>
    <w:p w14:paraId="20DEB715"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Nationals of the Council States: Military personnel who are nationals of one of the Council States who are working outside their countries in any member state of the Council. </w:t>
      </w:r>
    </w:p>
    <w:p w14:paraId="1B225156"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Military Retirement Agencies: The relevant agencies in the member states of the Council responsible for implementing the Military Retirement Law/Statute. </w:t>
      </w:r>
    </w:p>
    <w:p w14:paraId="0E970645"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Military Retirement Law/Statute: The military retirement laws/regulations applied in the Council States. </w:t>
      </w:r>
    </w:p>
    <w:p w14:paraId="52D8371E"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Military Entity: Any military entity affiliated with any of the Council States and subject to the military retirement laws/regulations. </w:t>
      </w:r>
    </w:p>
    <w:p w14:paraId="4BC760A0"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Military Personnel: Any individual working in a military capacity who is national of the Council States in any military entity. </w:t>
      </w:r>
    </w:p>
    <w:p w14:paraId="3AD2B517"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Subscribed Salary: The salary on which contributions are paid according to the provisions of the law/regulation of the Citizenship State. </w:t>
      </w:r>
    </w:p>
    <w:p w14:paraId="4079FA76"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b/>
          <w:bCs/>
          <w:sz w:val="28"/>
          <w:szCs w:val="28"/>
          <w:lang w:eastAsia="fr-FR"/>
        </w:rPr>
        <w:t>Article (2)</w:t>
      </w:r>
      <w:r w:rsidRPr="00EE1778">
        <w:rPr>
          <w:rFonts w:ascii="Arial" w:eastAsia="Times New Roman" w:hAnsi="Arial" w:cs="Arial"/>
          <w:sz w:val="28"/>
          <w:szCs w:val="28"/>
          <w:lang w:eastAsia="fr-FR"/>
        </w:rPr>
        <w:t> </w:t>
      </w:r>
    </w:p>
    <w:p w14:paraId="228A692B"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In applying the provisions of this Statute, the military retirement laws/regulations in force in the Council States shall apply to their nationals working in a military capacity in the military entities affiliated with any of the other Council States. </w:t>
      </w:r>
    </w:p>
    <w:p w14:paraId="32F16A78"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b/>
          <w:bCs/>
          <w:sz w:val="28"/>
          <w:szCs w:val="28"/>
          <w:lang w:eastAsia="fr-FR"/>
        </w:rPr>
        <w:t>Article (3) </w:t>
      </w:r>
      <w:r w:rsidRPr="00EE1778">
        <w:rPr>
          <w:rFonts w:ascii="Arial" w:eastAsia="Times New Roman" w:hAnsi="Arial" w:cs="Arial"/>
          <w:sz w:val="28"/>
          <w:szCs w:val="28"/>
          <w:lang w:eastAsia="fr-FR"/>
        </w:rPr>
        <w:t> </w:t>
      </w:r>
    </w:p>
    <w:p w14:paraId="728E3AE2"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The military retirement agencies in the Council States shall be entrusted with the implementation of this Statute. </w:t>
      </w:r>
    </w:p>
    <w:p w14:paraId="5575E045"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b/>
          <w:bCs/>
          <w:sz w:val="28"/>
          <w:szCs w:val="28"/>
          <w:lang w:eastAsia="fr-FR"/>
        </w:rPr>
        <w:t>Article (4)  </w:t>
      </w:r>
    </w:p>
    <w:p w14:paraId="26298DC3"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The provisions of this Statute shall apply on nationals of the Council States who work outside their countries in any military entity affiliated with any member state of the Council, provided that the following conditions are met: </w:t>
      </w:r>
    </w:p>
    <w:p w14:paraId="23302B63"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The provisions and conditions contained in the Military Retirement Law/Statute in force in their own country are applicable to them. </w:t>
      </w:r>
    </w:p>
    <w:p w14:paraId="09FD3BA0"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They work in a military entity in the Host State. </w:t>
      </w:r>
    </w:p>
    <w:p w14:paraId="52E5279D"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They hold the citizenship of one of the Council States, with documentary evidence as per the regulations of the Citizenship State. </w:t>
      </w:r>
    </w:p>
    <w:p w14:paraId="3C2D9E9B"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b/>
          <w:bCs/>
          <w:sz w:val="28"/>
          <w:szCs w:val="28"/>
          <w:lang w:eastAsia="fr-FR"/>
        </w:rPr>
        <w:t>Article (5) </w:t>
      </w:r>
    </w:p>
    <w:p w14:paraId="3D2A81B7"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Military personnel are entitled to their retirement rights according to the laws/regulations of the Citizenship State.  </w:t>
      </w:r>
    </w:p>
    <w:p w14:paraId="22BF286B"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In the case of compensation for injury, it is settled in accordance with the applicable provisions in the Host State. </w:t>
      </w:r>
    </w:p>
    <w:p w14:paraId="1A7E49AB"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b/>
          <w:bCs/>
          <w:sz w:val="28"/>
          <w:szCs w:val="28"/>
          <w:lang w:eastAsia="fr-FR"/>
        </w:rPr>
        <w:t>Article (6) </w:t>
      </w:r>
    </w:p>
    <w:p w14:paraId="79DCF2D2"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The military retirement agencies in the Citizenship State of the military personnel shall: </w:t>
      </w:r>
    </w:p>
    <w:p w14:paraId="2C5C49FE"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Prepare a guide outlining the provisions of the regulation/law in force within their jurisdiction, including the required contribution rates and procedures for ensuring the military personnel's insurance in accordance with the regulations/laws of the Citizenship State, and distribute it to military retirement agencies in the Council States. </w:t>
      </w:r>
    </w:p>
    <w:p w14:paraId="6B8F57BC"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Provide military retirement agencies in the Council States with the insurance forms used for the application of this Statute. </w:t>
      </w:r>
    </w:p>
    <w:p w14:paraId="7525A58E"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Open a bank account in the Host State for the purpose of enabling the military entities and military retirement agencies to deposit the due amounts in accordance with this Statute. </w:t>
      </w:r>
    </w:p>
    <w:p w14:paraId="404D25E8"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Designate the administrative entity responsible for monitoring the implementation of the provisions of this Statute with the entities or administrative units in the military retirement agencies in the Council States. </w:t>
      </w:r>
    </w:p>
    <w:p w14:paraId="6AB40FB8"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b/>
          <w:bCs/>
          <w:sz w:val="28"/>
          <w:szCs w:val="28"/>
          <w:lang w:eastAsia="fr-FR"/>
        </w:rPr>
        <w:t>Article (7) </w:t>
      </w:r>
      <w:r w:rsidRPr="00EE1778">
        <w:rPr>
          <w:rFonts w:ascii="Arial" w:eastAsia="Times New Roman" w:hAnsi="Arial" w:cs="Arial"/>
          <w:sz w:val="28"/>
          <w:szCs w:val="28"/>
          <w:lang w:eastAsia="fr-FR"/>
        </w:rPr>
        <w:t> </w:t>
      </w:r>
    </w:p>
    <w:p w14:paraId="18CBE8E7"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The military retirement agencies in the Host State shall: </w:t>
      </w:r>
    </w:p>
    <w:p w14:paraId="61B29E56"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Take the necessary actions to compel military entities to comply with the provisions of this Statute. </w:t>
      </w:r>
    </w:p>
    <w:p w14:paraId="1C7140D5"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Take the necessary actions to educate military entities about the provisions of this Statute and provide them with the guide prepared by the military retirement agencies in the Citizenship State and the insurance forms used for the application of this Statute. </w:t>
      </w:r>
    </w:p>
    <w:p w14:paraId="3FD0DAF5"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Designate the administrative entity responsible for monitoring the implementation of the provisions of this Statute with the entities or administrative units in the military retirement agencies in the Council States. </w:t>
      </w:r>
    </w:p>
    <w:p w14:paraId="4A6CCFF4"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b/>
          <w:bCs/>
          <w:sz w:val="28"/>
          <w:szCs w:val="28"/>
          <w:u w:val="single"/>
          <w:lang w:eastAsia="fr-FR"/>
        </w:rPr>
        <w:t>Part Two </w:t>
      </w:r>
    </w:p>
    <w:p w14:paraId="4B72B382"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b/>
          <w:bCs/>
          <w:sz w:val="28"/>
          <w:szCs w:val="28"/>
          <w:u w:val="single"/>
          <w:lang w:eastAsia="fr-FR"/>
        </w:rPr>
        <w:t>Registration Procedures </w:t>
      </w:r>
    </w:p>
    <w:p w14:paraId="0A5D6356"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b/>
          <w:bCs/>
          <w:sz w:val="28"/>
          <w:szCs w:val="28"/>
          <w:u w:val="single"/>
          <w:lang w:eastAsia="fr-FR"/>
        </w:rPr>
        <w:t>Article (8) </w:t>
      </w:r>
    </w:p>
    <w:p w14:paraId="3BB89D4E"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Military personnel shall be insured with the military retirement agencies in accordance with the procedures and forms approved in the Military Retirement Law/Statute of the Citizenship State. </w:t>
      </w:r>
    </w:p>
    <w:p w14:paraId="3477829E"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b/>
          <w:bCs/>
          <w:sz w:val="28"/>
          <w:szCs w:val="28"/>
          <w:lang w:eastAsia="fr-FR"/>
        </w:rPr>
        <w:t>Article (9) </w:t>
      </w:r>
    </w:p>
    <w:p w14:paraId="67DAB399"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The military entity in the Host State shall be responsible for insuring the military personnel and providing the military retirement agencies in the Host State with the insurance forms specific to the military personnel subject to this Statute after completing their data. These agencies shall notify the military retirement agency in the Citizenship State accordingly, based on the principles and guidelines agreed upon between the military retirement agencies in the Council States. </w:t>
      </w:r>
    </w:p>
    <w:p w14:paraId="4C28EA5E"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b/>
          <w:bCs/>
          <w:sz w:val="28"/>
          <w:szCs w:val="28"/>
          <w:lang w:eastAsia="fr-FR"/>
        </w:rPr>
        <w:t>Article (10) </w:t>
      </w:r>
    </w:p>
    <w:p w14:paraId="58B406AB"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The military retirement agencies in the Host State shall maintain special records and statistics for the nationals of the Council States working in the military entities under their jurisdiction, based on the data received from these entities. </w:t>
      </w:r>
    </w:p>
    <w:p w14:paraId="0D70A4E4"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b/>
          <w:bCs/>
          <w:sz w:val="28"/>
          <w:szCs w:val="28"/>
          <w:u w:val="single"/>
          <w:lang w:eastAsia="fr-FR"/>
        </w:rPr>
        <w:t>Part Three </w:t>
      </w:r>
    </w:p>
    <w:p w14:paraId="35727F58"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b/>
          <w:bCs/>
          <w:sz w:val="28"/>
          <w:szCs w:val="28"/>
          <w:u w:val="single"/>
          <w:lang w:eastAsia="fr-FR"/>
        </w:rPr>
        <w:t>Subscription Collection Procedures </w:t>
      </w:r>
    </w:p>
    <w:p w14:paraId="048C1582"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b/>
          <w:bCs/>
          <w:sz w:val="28"/>
          <w:szCs w:val="28"/>
          <w:u w:val="single"/>
          <w:lang w:eastAsia="fr-FR"/>
        </w:rPr>
        <w:t>Article (11) </w:t>
      </w:r>
    </w:p>
    <w:p w14:paraId="0D21DB18"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Subscriptions shall be collected according to the following principles: </w:t>
      </w:r>
    </w:p>
    <w:p w14:paraId="66DEEA67"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The military personnel and the military entity shall commit to bearing their share of the contributions from the subscribed salary in accordance with the percentages applied in the Military Retirement Law/Statute of the Citizenship State, provided that the share of the military entity does not exceed the percentage applied in the Host State. In cases where the contribution of the military entity falls below the required percentage, the military personnel shall cover the difference in the contribution to ensure the complete payment of contributions to the military retirement agency to which the military personnel are subject to its law/regulation. In this case, the military entity shall deduct the difference from the military personnel's salary, unless the Citizenship State decides to bear this difference on behalf of its nationals. </w:t>
      </w:r>
    </w:p>
    <w:p w14:paraId="10D36496"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The military entity shall deduct the military personnel's share from the monthly salary, including the differences in contributions specified in the preceding paragraph, and deposit it with the share it is committed to in the bank account designated by the military retirement agency to which the military personnel are subject to its law/regulation, according to the legally established deadlines and in accordance with the procedures and guidelines applied in the Host State. </w:t>
      </w:r>
    </w:p>
    <w:p w14:paraId="18C688F0"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b/>
          <w:bCs/>
          <w:sz w:val="28"/>
          <w:szCs w:val="28"/>
          <w:lang w:eastAsia="fr-FR"/>
        </w:rPr>
        <w:t>Article (12) </w:t>
      </w:r>
    </w:p>
    <w:p w14:paraId="13802CBE"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In the event that the military entity is delayed in paying the due contributions in accordance with the provisions of this Statute within the legally established deadlines, the military retirement agency in the Citizenship State shall notify the military retirement agency in the Host State to follow up on the failing military entity and take the necessary legal actions to collect those contributions and any additional amounts on behalf of the military retirement agency in the Citizenship State, according to the rules and regulations applied in the Host State. This shall not create any liability on the military retirement agency in the Host State in the event of the inability to collect those contributions and the amounts due for any reason. </w:t>
      </w:r>
    </w:p>
    <w:p w14:paraId="3741286D"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b/>
          <w:bCs/>
          <w:sz w:val="28"/>
          <w:szCs w:val="28"/>
          <w:u w:val="single"/>
          <w:lang w:eastAsia="fr-FR"/>
        </w:rPr>
        <w:t>Part Four </w:t>
      </w:r>
    </w:p>
    <w:p w14:paraId="59B8A84D"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b/>
          <w:bCs/>
          <w:sz w:val="28"/>
          <w:szCs w:val="28"/>
          <w:u w:val="single"/>
          <w:lang w:eastAsia="fr-FR"/>
        </w:rPr>
        <w:t>Suspension or Termination of Subscription </w:t>
      </w:r>
    </w:p>
    <w:p w14:paraId="1C1D6F7C"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b/>
          <w:bCs/>
          <w:sz w:val="28"/>
          <w:szCs w:val="28"/>
          <w:lang w:eastAsia="fr-FR"/>
        </w:rPr>
        <w:t>Article (13) </w:t>
      </w:r>
    </w:p>
    <w:p w14:paraId="304AB5E6"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A military personnel's subscription under the provisions of this Statute shall be suspended if any of the conditions for compliance with its provisions, as mentioned in Article (4) of this Statute, are no longer met. </w:t>
      </w:r>
    </w:p>
    <w:p w14:paraId="3D3107D4"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b/>
          <w:bCs/>
          <w:sz w:val="28"/>
          <w:szCs w:val="28"/>
          <w:lang w:eastAsia="fr-FR"/>
        </w:rPr>
        <w:t>Article (14)  </w:t>
      </w:r>
    </w:p>
    <w:p w14:paraId="1D06309A"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Taking into consideration the provisions of Article (18) of this Statute, the military entity shall be responsible for notifying the military retirement agency in the Host State of the termination of service of any military personnel subject to the provisions of this Statute within the deadlines established in the law/regulation of the Host State. This notification shall be made using the form prepared for this purpose, which, in turn, notifies the military retirement agency in the Citizenship State. </w:t>
      </w:r>
    </w:p>
    <w:p w14:paraId="11833C98"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b/>
          <w:bCs/>
          <w:sz w:val="28"/>
          <w:szCs w:val="28"/>
          <w:lang w:eastAsia="fr-FR"/>
        </w:rPr>
        <w:t>Article (15)  </w:t>
      </w:r>
    </w:p>
    <w:p w14:paraId="72B852FB"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In the event of disability, illness, death, or martyrdom of a military personnel, the military entity shall be responsible for notifying the military retirement agency in the Host State. The military entity shall then bear the responsibility of completing the necessary medical reports and certificates to prove the disability, illness, death, or martyrdom, and sending them to the military retirement agency in the Citizenship State for presentation to the medical committees, according to the rules and procedures applied in the law/regulation of the military personnel's Citizenship State, in preparation for settling their entitlements or those entitled on their behalf, depending on the situation, in accordance with the law/regulation of the military retirement in the Citizenship State. </w:t>
      </w:r>
    </w:p>
    <w:p w14:paraId="24545721"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b/>
          <w:bCs/>
          <w:sz w:val="28"/>
          <w:szCs w:val="28"/>
          <w:lang w:eastAsia="fr-FR"/>
        </w:rPr>
        <w:t>Article (16) </w:t>
      </w:r>
    </w:p>
    <w:p w14:paraId="529F4ED9"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The military personnel who is missing or captured shall be subject to the provisions and controls applied in the law/regulation of military retirement in the military personnel's Citizenship State. The confirmation of this status shall be carried out according to the procedures applied in the Host State. </w:t>
      </w:r>
    </w:p>
    <w:p w14:paraId="44A0CE12"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b/>
          <w:bCs/>
          <w:sz w:val="28"/>
          <w:szCs w:val="28"/>
          <w:u w:val="single"/>
          <w:lang w:eastAsia="fr-FR"/>
        </w:rPr>
        <w:t>Part Five </w:t>
      </w:r>
    </w:p>
    <w:p w14:paraId="680E7050"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b/>
          <w:bCs/>
          <w:sz w:val="28"/>
          <w:szCs w:val="28"/>
          <w:u w:val="single"/>
          <w:lang w:eastAsia="fr-FR"/>
        </w:rPr>
        <w:t>Final Provisions </w:t>
      </w:r>
    </w:p>
    <w:p w14:paraId="0CF79CDC"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b/>
          <w:bCs/>
          <w:sz w:val="28"/>
          <w:szCs w:val="28"/>
          <w:u w:val="single"/>
          <w:lang w:eastAsia="fr-FR"/>
        </w:rPr>
        <w:t>Article (17) </w:t>
      </w:r>
    </w:p>
    <w:p w14:paraId="124957B3"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The entitlements of the military personnel or those entitled on their behalf shall be settled in accordance with the prevailing provisions in this regard in the law/regulation of military retirement in the military personnel's Citizenship State. </w:t>
      </w:r>
    </w:p>
    <w:p w14:paraId="22B63536"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b/>
          <w:bCs/>
          <w:sz w:val="28"/>
          <w:szCs w:val="28"/>
          <w:lang w:eastAsia="fr-FR"/>
        </w:rPr>
        <w:t>Article (18) </w:t>
      </w:r>
    </w:p>
    <w:p w14:paraId="43242186"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All the provisions contained in the law/Statute of military retirement in the Citizenship State shall apply to the military personnel, unless there is a specific provision in this Statute or one that does not conflict with its provisions. </w:t>
      </w:r>
    </w:p>
    <w:p w14:paraId="5C26E167"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b/>
          <w:bCs/>
          <w:sz w:val="28"/>
          <w:szCs w:val="28"/>
          <w:u w:val="single"/>
          <w:lang w:eastAsia="fr-FR"/>
        </w:rPr>
        <w:t>Article (19) </w:t>
      </w:r>
    </w:p>
    <w:p w14:paraId="5AA21072"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The application of this Statute shall not entail any financial obligations on the military retirement agency in the Host State by the military personnel or their beneficiaries or the military entity. </w:t>
      </w:r>
    </w:p>
    <w:p w14:paraId="165DD210"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b/>
          <w:bCs/>
          <w:sz w:val="28"/>
          <w:szCs w:val="28"/>
          <w:lang w:eastAsia="fr-FR"/>
        </w:rPr>
        <w:t>Article (20) </w:t>
      </w:r>
    </w:p>
    <w:p w14:paraId="285071D3"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This Statute shall not affect any rights or benefits guaranteed by the prevailing laws/regulations in the Host State for the military personnel, unless those laws/Statutes state otherwise. </w:t>
      </w:r>
    </w:p>
    <w:p w14:paraId="312B8677"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b/>
          <w:bCs/>
          <w:sz w:val="28"/>
          <w:szCs w:val="28"/>
          <w:lang w:eastAsia="fr-FR"/>
        </w:rPr>
        <w:t>Article (21) </w:t>
      </w:r>
    </w:p>
    <w:p w14:paraId="6DD262C3"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The military personnel subject to the provisions of this Statute shall be subject to the penalties provided for in the law/Statute of military retirement in the Host State in case of non-compliance with its provisions. </w:t>
      </w:r>
    </w:p>
    <w:p w14:paraId="3B23C362"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b/>
          <w:bCs/>
          <w:sz w:val="28"/>
          <w:szCs w:val="28"/>
          <w:lang w:eastAsia="fr-FR"/>
        </w:rPr>
        <w:t>Article (22) </w:t>
      </w:r>
    </w:p>
    <w:p w14:paraId="660B59D8" w14:textId="77777777" w:rsidR="00EE1778" w:rsidRPr="00EE1778" w:rsidRDefault="00EE1778" w:rsidP="00B5182B">
      <w:pPr>
        <w:spacing w:before="120" w:after="0" w:line="360" w:lineRule="auto"/>
        <w:rPr>
          <w:rFonts w:ascii="Arial" w:eastAsia="Times New Roman" w:hAnsi="Arial" w:cs="Arial"/>
          <w:sz w:val="28"/>
          <w:szCs w:val="28"/>
          <w:lang w:eastAsia="fr-FR"/>
        </w:rPr>
      </w:pPr>
      <w:r w:rsidRPr="00EE1778">
        <w:rPr>
          <w:rFonts w:ascii="Arial" w:eastAsia="Times New Roman" w:hAnsi="Arial" w:cs="Arial"/>
          <w:sz w:val="28"/>
          <w:szCs w:val="28"/>
          <w:lang w:eastAsia="fr-FR"/>
        </w:rPr>
        <w:t>The member states of the Council shall work on issuing the necessary legislation for the implementation of this Statute to ensure its provisions take effect after six months from its approval. </w:t>
      </w:r>
    </w:p>
    <w:p w14:paraId="5C82AC1A" w14:textId="77777777" w:rsidR="00EE1778" w:rsidRPr="00EE1778" w:rsidRDefault="00EE1778" w:rsidP="00B5182B">
      <w:pPr>
        <w:spacing w:before="120" w:after="0" w:line="360" w:lineRule="auto"/>
        <w:rPr>
          <w:rFonts w:ascii="Arial" w:eastAsia="Times New Roman" w:hAnsi="Arial" w:cs="Arial"/>
          <w:b/>
          <w:bCs/>
          <w:sz w:val="28"/>
          <w:szCs w:val="28"/>
          <w:lang w:val="en-US" w:eastAsia="fr-FR"/>
        </w:rPr>
      </w:pPr>
    </w:p>
    <w:p w14:paraId="1C114C38" w14:textId="77777777" w:rsidR="00EE1778" w:rsidRPr="00EE1778" w:rsidRDefault="00EE1778" w:rsidP="00B5182B">
      <w:pPr>
        <w:spacing w:before="120" w:after="0" w:line="360" w:lineRule="auto"/>
        <w:rPr>
          <w:rFonts w:ascii="Arial" w:hAnsi="Arial" w:cs="Arial"/>
          <w:sz w:val="28"/>
          <w:szCs w:val="28"/>
        </w:rPr>
      </w:pPr>
    </w:p>
    <w:sectPr w:rsidR="00EE1778" w:rsidRPr="00EE1778" w:rsidSect="00C253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778"/>
    <w:rsid w:val="000129C5"/>
    <w:rsid w:val="00521F4E"/>
    <w:rsid w:val="00815AD9"/>
    <w:rsid w:val="00B5182B"/>
    <w:rsid w:val="00C2538B"/>
    <w:rsid w:val="00EE177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2701E"/>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2496</Words>
  <Characters>14230</Characters>
  <Application>Microsoft Office Word</Application>
  <DocSecurity>0</DocSecurity>
  <Lines>118</Lines>
  <Paragraphs>33</Paragraphs>
  <ScaleCrop>false</ScaleCrop>
  <Company/>
  <LinksUpToDate>false</LinksUpToDate>
  <CharactersWithSpaces>16693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2024-05-14T09:19:00Z</dcterms:created>
  <dcterms:modified xsi:type="dcterms:W3CDTF">2024-05-15T18:19:00Z</dcterms:modified>
</cp:coreProperties>
</file>