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77E9" w14:textId="77777777" w:rsidR="00D52FDD" w:rsidRPr="004D7831" w:rsidRDefault="00D52FDD" w:rsidP="00D52FDD">
      <w:pPr>
        <w:pStyle w:val="Heading2"/>
        <w:spacing w:line="240" w:lineRule="auto"/>
        <w:rPr>
          <w:rFonts w:eastAsia="Times New Roman" w:cs="PT Bold Heading"/>
          <w:lang w:eastAsia="ar-SA"/>
        </w:rPr>
      </w:pPr>
      <w:r w:rsidRPr="004D7831">
        <w:rPr>
          <w:rFonts w:eastAsia="Times New Roman" w:cs="PT Bold Heading"/>
          <w:rtl/>
          <w:lang w:eastAsia="ar-SA"/>
        </w:rPr>
        <w:t>مرسوم بقانون رقم (15) لسنة 2002</w:t>
      </w:r>
    </w:p>
    <w:p w14:paraId="315FE7CF"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بشأن مجلسي الشورى والنواب</w:t>
      </w:r>
    </w:p>
    <w:p w14:paraId="474CB296"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 </w:t>
      </w:r>
    </w:p>
    <w:p w14:paraId="646BFBC8" w14:textId="77777777" w:rsidR="00D52FDD" w:rsidRPr="00D663EB" w:rsidRDefault="00D52FDD" w:rsidP="00D52FDD">
      <w:pPr>
        <w:bidi/>
        <w:spacing w:after="0" w:line="360" w:lineRule="auto"/>
        <w:ind w:left="288"/>
        <w:jc w:val="lowKashida"/>
        <w:rPr>
          <w:rFonts w:asciiTheme="majorBidi" w:eastAsia="Times New Roman" w:hAnsiTheme="majorBidi" w:cstheme="majorBidi"/>
          <w:sz w:val="28"/>
          <w:szCs w:val="28"/>
          <w:rtl/>
        </w:rPr>
      </w:pPr>
      <w:r w:rsidRPr="00D663EB">
        <w:rPr>
          <w:rFonts w:asciiTheme="majorBidi" w:eastAsia="Times New Roman" w:hAnsiTheme="majorBidi" w:cstheme="majorBidi"/>
          <w:sz w:val="28"/>
          <w:szCs w:val="28"/>
          <w:rtl/>
        </w:rPr>
        <w:t>نحن حمد بن عيسى آل خليفة          ملك مملكة البحرين.</w:t>
      </w:r>
    </w:p>
    <w:p w14:paraId="1DA718F3" w14:textId="77777777" w:rsidR="00D52FDD" w:rsidRPr="00BA5CB9" w:rsidRDefault="00D52FDD" w:rsidP="00D52FDD">
      <w:pPr>
        <w:bidi/>
        <w:spacing w:after="0" w:line="360" w:lineRule="auto"/>
        <w:ind w:left="288"/>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 xml:space="preserve">بعد الاطلاع على الدستور، </w:t>
      </w:r>
    </w:p>
    <w:p w14:paraId="2E74EE55" w14:textId="77777777" w:rsidR="00D52FDD" w:rsidRPr="00BA5CB9" w:rsidRDefault="00D52FDD" w:rsidP="00D52FDD">
      <w:pPr>
        <w:bidi/>
        <w:spacing w:after="0" w:line="360" w:lineRule="auto"/>
        <w:ind w:left="288"/>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وعلى المرسوم بقانون رقم (14) لسنة 2002 بشأن مباشرة الحقوق السياسية،</w:t>
      </w:r>
    </w:p>
    <w:p w14:paraId="56E7F45D" w14:textId="77777777" w:rsidR="00D52FDD" w:rsidRPr="00BA5CB9" w:rsidRDefault="00D52FDD" w:rsidP="00D52FDD">
      <w:pPr>
        <w:bidi/>
        <w:spacing w:after="0" w:line="360" w:lineRule="auto"/>
        <w:ind w:left="288"/>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وبناءً على عرض رئيس مجلس الوزراء،</w:t>
      </w:r>
    </w:p>
    <w:p w14:paraId="1B968A8D" w14:textId="77777777" w:rsidR="00D52FDD" w:rsidRPr="00BA5CB9" w:rsidRDefault="00D52FDD" w:rsidP="00D52FDD">
      <w:pPr>
        <w:bidi/>
        <w:spacing w:after="0" w:line="360" w:lineRule="auto"/>
        <w:ind w:left="288"/>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وبعد موافقة مجلس الوزراء على ذلك،</w:t>
      </w:r>
    </w:p>
    <w:p w14:paraId="794DF2E0"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رسمنا بالقانون الآتي:</w:t>
      </w:r>
    </w:p>
    <w:p w14:paraId="3E6B694C"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الباب الأول</w:t>
      </w:r>
    </w:p>
    <w:p w14:paraId="39B34E12"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مجلس الشورى</w:t>
      </w:r>
    </w:p>
    <w:p w14:paraId="2EC6CAA1" w14:textId="77777777" w:rsidR="00D52FDD" w:rsidRPr="00BA5CB9" w:rsidRDefault="00D52FDD" w:rsidP="00D52FDD">
      <w:pPr>
        <w:pStyle w:val="Heading2"/>
        <w:spacing w:line="240" w:lineRule="auto"/>
        <w:rPr>
          <w:rFonts w:asciiTheme="majorBidi" w:eastAsia="Times New Roman" w:hAnsiTheme="majorBidi" w:cstheme="majorBidi"/>
          <w:b w:val="0"/>
          <w:bCs w:val="0"/>
          <w:rtl/>
        </w:rPr>
      </w:pPr>
      <w:r w:rsidRPr="004D7831">
        <w:rPr>
          <w:rFonts w:eastAsia="Times New Roman" w:cs="PT Bold Heading"/>
          <w:rtl/>
          <w:lang w:eastAsia="ar-SA"/>
        </w:rPr>
        <w:t>مادة (1)</w:t>
      </w:r>
      <w:r>
        <w:rPr>
          <w:rFonts w:eastAsia="Times New Roman" w:cs="PT Bold Heading" w:hint="cs"/>
          <w:rtl/>
          <w:lang w:eastAsia="ar-SA"/>
        </w:rPr>
        <w:t xml:space="preserve"> </w:t>
      </w:r>
      <w:r w:rsidRPr="004D7831">
        <w:rPr>
          <w:rFonts w:eastAsia="Times New Roman" w:cs="PT Bold Heading"/>
          <w:vertAlign w:val="superscript"/>
          <w:rtl/>
          <w:lang w:eastAsia="ar-SA"/>
        </w:rPr>
        <w:t>(</w:t>
      </w:r>
      <w:r w:rsidRPr="004D7831">
        <w:rPr>
          <w:rFonts w:eastAsia="Times New Roman" w:cs="PT Bold Heading"/>
          <w:vertAlign w:val="superscript"/>
          <w:rtl/>
          <w:lang w:eastAsia="ar-SA"/>
        </w:rPr>
        <w:footnoteReference w:id="1"/>
      </w:r>
      <w:r w:rsidRPr="004D7831">
        <w:rPr>
          <w:rFonts w:eastAsia="Times New Roman" w:cs="PT Bold Heading"/>
          <w:vertAlign w:val="superscript"/>
          <w:rtl/>
          <w:lang w:eastAsia="ar-SA"/>
        </w:rPr>
        <w:t>)</w:t>
      </w:r>
    </w:p>
    <w:p w14:paraId="1B583DE9" w14:textId="77777777" w:rsidR="00D52FDD" w:rsidRPr="00BA5CB9" w:rsidRDefault="00D52FDD" w:rsidP="00D52FDD">
      <w:pPr>
        <w:bidi/>
        <w:spacing w:after="0" w:line="360" w:lineRule="auto"/>
        <w:ind w:firstLine="282"/>
        <w:jc w:val="lowKashida"/>
        <w:rPr>
          <w:rFonts w:asciiTheme="majorBidi" w:hAnsiTheme="majorBidi" w:cstheme="majorBidi"/>
          <w:sz w:val="28"/>
          <w:szCs w:val="28"/>
          <w:rtl/>
        </w:rPr>
      </w:pPr>
      <w:r w:rsidRPr="00BA5CB9">
        <w:rPr>
          <w:rFonts w:asciiTheme="majorBidi" w:hAnsiTheme="majorBidi" w:cstheme="majorBidi"/>
          <w:sz w:val="28"/>
          <w:szCs w:val="28"/>
          <w:rtl/>
        </w:rPr>
        <w:t xml:space="preserve">يتألف مجلس الشورى من أربعين عضواً يعينون ويعفون بأمر ملكي، وذلك وفقاً للإجراءات والضوابط والطريقة التي تحدد بأمر ملكي. </w:t>
      </w:r>
    </w:p>
    <w:p w14:paraId="234BC8B2"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w:t>
      </w:r>
    </w:p>
    <w:p w14:paraId="2D5F1F38"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مدة مجلس الشورى أربع سنوات تبدأ من تاريخ أول اجتماع له. ويجوز إعادة تعيين من انتهت مدة عضويته. </w:t>
      </w:r>
    </w:p>
    <w:p w14:paraId="353D76EB" w14:textId="77777777" w:rsidR="00D52FDD" w:rsidRPr="00BA5CB9" w:rsidRDefault="00D52FDD" w:rsidP="00D52FDD">
      <w:pPr>
        <w:pStyle w:val="Heading2"/>
        <w:spacing w:line="240" w:lineRule="auto"/>
        <w:rPr>
          <w:rFonts w:asciiTheme="majorBidi" w:eastAsia="Times New Roman" w:hAnsiTheme="majorBidi" w:cstheme="majorBidi"/>
          <w:rtl/>
        </w:rPr>
      </w:pPr>
      <w:r w:rsidRPr="004D7831">
        <w:rPr>
          <w:rFonts w:eastAsia="Times New Roman" w:cs="PT Bold Heading"/>
          <w:rtl/>
          <w:lang w:eastAsia="ar-SA"/>
        </w:rPr>
        <w:t>مادة (3)</w:t>
      </w:r>
    </w:p>
    <w:p w14:paraId="1207EB78"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مع عدم الإخلال بالأحكام المقررة في قانون مباشرة الحقوق السياسية، يشترط فيمن يعين عضواً في مجلس الشورى:</w:t>
      </w:r>
    </w:p>
    <w:p w14:paraId="54E102C1" w14:textId="77777777" w:rsidR="00D52FDD" w:rsidRPr="00BA5CB9" w:rsidRDefault="00D52FDD" w:rsidP="00D52FDD">
      <w:pPr>
        <w:bidi/>
        <w:spacing w:after="0" w:line="360" w:lineRule="auto"/>
        <w:ind w:left="454" w:hanging="454"/>
        <w:jc w:val="lowKashida"/>
        <w:rPr>
          <w:rFonts w:asciiTheme="majorBidi" w:eastAsia="Times New Roman" w:hAnsiTheme="majorBidi" w:cstheme="majorBidi"/>
          <w:sz w:val="28"/>
          <w:szCs w:val="28"/>
          <w:rtl/>
        </w:rPr>
      </w:pPr>
      <w:r w:rsidRPr="00581362">
        <w:rPr>
          <w:rFonts w:asciiTheme="majorBidi" w:eastAsia="Times New Roman" w:hAnsiTheme="majorBidi" w:cstheme="majorBidi"/>
          <w:sz w:val="28"/>
          <w:szCs w:val="28"/>
          <w:rtl/>
        </w:rPr>
        <w:lastRenderedPageBreak/>
        <w:t>أ</w:t>
      </w:r>
      <w:r>
        <w:rPr>
          <w:rFonts w:asciiTheme="majorBidi" w:eastAsia="Times New Roman" w:hAnsiTheme="majorBidi" w:cstheme="majorBidi"/>
          <w:sz w:val="28"/>
          <w:szCs w:val="28"/>
        </w:rPr>
        <w:t xml:space="preserve"> </w:t>
      </w:r>
      <w:r w:rsidRPr="00581362">
        <w:rPr>
          <w:rFonts w:asciiTheme="majorBidi" w:eastAsia="Times New Roman" w:hAnsiTheme="majorBidi" w:cstheme="majorBidi"/>
          <w:sz w:val="28"/>
          <w:szCs w:val="28"/>
          <w:rtl/>
        </w:rPr>
        <w:t>-</w:t>
      </w:r>
      <w:r>
        <w:rPr>
          <w:rFonts w:asciiTheme="majorBidi" w:hAnsiTheme="majorBidi" w:cstheme="majorBidi"/>
          <w:sz w:val="28"/>
          <w:szCs w:val="28"/>
        </w:rPr>
        <w:t xml:space="preserve"> </w:t>
      </w:r>
      <w:r w:rsidRPr="00BA5CB9">
        <w:rPr>
          <w:rFonts w:asciiTheme="majorBidi" w:hAnsiTheme="majorBidi" w:cstheme="majorBidi"/>
          <w:sz w:val="28"/>
          <w:szCs w:val="28"/>
          <w:rtl/>
        </w:rPr>
        <w:t xml:space="preserve">أن يكون بحرينياً، وأن </w:t>
      </w:r>
      <w:proofErr w:type="gramStart"/>
      <w:r w:rsidRPr="00BA5CB9">
        <w:rPr>
          <w:rFonts w:asciiTheme="majorBidi" w:hAnsiTheme="majorBidi" w:cstheme="majorBidi"/>
          <w:sz w:val="28"/>
          <w:szCs w:val="28"/>
          <w:rtl/>
        </w:rPr>
        <w:t>يمضى</w:t>
      </w:r>
      <w:proofErr w:type="gramEnd"/>
      <w:r w:rsidRPr="00BA5CB9">
        <w:rPr>
          <w:rFonts w:asciiTheme="majorBidi" w:hAnsiTheme="majorBidi" w:cstheme="majorBidi"/>
          <w:sz w:val="28"/>
          <w:szCs w:val="28"/>
          <w:rtl/>
        </w:rPr>
        <w:t xml:space="preserve"> على من اكتسب الجنسية البحرينية عشر سنوات على الأقل، وغير حامل لجنسية أخرى، باستثناء من يحمل جنسية إحدى الدول الأعضاء بمجلس التعاون لدول الخليج العربية بشرط أن تكون جنسيته البحرينية بصفة أصلية، ومتمتعاً بكافة حقوقه المدنية والسياسية.</w:t>
      </w:r>
      <w:r>
        <w:rPr>
          <w:rFonts w:asciiTheme="majorBidi" w:hAnsiTheme="majorBidi" w:cstheme="majorBidi" w:hint="cs"/>
          <w:sz w:val="28"/>
          <w:szCs w:val="28"/>
          <w:rtl/>
        </w:rPr>
        <w:t xml:space="preserve"> </w:t>
      </w:r>
      <w:r w:rsidRPr="00BA5CB9">
        <w:rPr>
          <w:rFonts w:asciiTheme="majorBidi" w:hAnsiTheme="majorBidi" w:cstheme="majorBidi"/>
          <w:sz w:val="28"/>
          <w:szCs w:val="28"/>
          <w:vertAlign w:val="superscript"/>
          <w:rtl/>
        </w:rPr>
        <w:t>(</w:t>
      </w:r>
      <w:r w:rsidRPr="00BA5CB9">
        <w:rPr>
          <w:rFonts w:asciiTheme="majorBidi" w:hAnsiTheme="majorBidi" w:cstheme="majorBidi"/>
          <w:sz w:val="28"/>
          <w:szCs w:val="28"/>
          <w:vertAlign w:val="superscript"/>
          <w:rtl/>
        </w:rPr>
        <w:footnoteReference w:id="2"/>
      </w:r>
      <w:r w:rsidRPr="00BA5CB9">
        <w:rPr>
          <w:rFonts w:asciiTheme="majorBidi" w:hAnsiTheme="majorBidi" w:cstheme="majorBidi"/>
          <w:sz w:val="28"/>
          <w:szCs w:val="28"/>
          <w:vertAlign w:val="superscript"/>
          <w:rtl/>
        </w:rPr>
        <w:t>)</w:t>
      </w:r>
    </w:p>
    <w:p w14:paraId="57338DBD"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ب </w:t>
      </w:r>
      <w:r w:rsidRPr="00BA5CB9">
        <w:rPr>
          <w:rFonts w:asciiTheme="majorBidi" w:eastAsia="Times New Roman" w:hAnsiTheme="majorBidi" w:cstheme="majorBidi"/>
          <w:sz w:val="28"/>
          <w:szCs w:val="28"/>
          <w:rtl/>
        </w:rPr>
        <w:t>- أن يكون اسمه مدرجاً في أحد جداول الانتخاب.</w:t>
      </w:r>
    </w:p>
    <w:p w14:paraId="6FD16D84"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ج </w:t>
      </w:r>
      <w:r w:rsidRPr="00BA5CB9">
        <w:rPr>
          <w:rFonts w:asciiTheme="majorBidi" w:eastAsia="Times New Roman" w:hAnsiTheme="majorBidi" w:cstheme="majorBidi"/>
          <w:sz w:val="28"/>
          <w:szCs w:val="28"/>
          <w:rtl/>
        </w:rPr>
        <w:t xml:space="preserve">- ألا تقل سنه يوم التعيين عن خمس وثلاثين سنة كاملة. </w:t>
      </w:r>
    </w:p>
    <w:p w14:paraId="50634355"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د </w:t>
      </w:r>
      <w:r w:rsidRPr="00BA5CB9">
        <w:rPr>
          <w:rFonts w:asciiTheme="majorBidi" w:eastAsia="Times New Roman" w:hAnsiTheme="majorBidi" w:cstheme="majorBidi"/>
          <w:sz w:val="28"/>
          <w:szCs w:val="28"/>
          <w:rtl/>
        </w:rPr>
        <w:t>-</w:t>
      </w:r>
      <w:r>
        <w:rPr>
          <w:rFonts w:asciiTheme="majorBidi" w:eastAsia="Times New Roman" w:hAnsiTheme="majorBidi" w:cstheme="majorBidi"/>
          <w:sz w:val="28"/>
          <w:szCs w:val="28"/>
        </w:rPr>
        <w:t xml:space="preserve"> </w:t>
      </w:r>
      <w:r w:rsidRPr="00BA5CB9">
        <w:rPr>
          <w:rFonts w:asciiTheme="majorBidi" w:eastAsia="Times New Roman" w:hAnsiTheme="majorBidi" w:cstheme="majorBidi"/>
          <w:sz w:val="28"/>
          <w:szCs w:val="28"/>
          <w:rtl/>
        </w:rPr>
        <w:t>أن يكون ممن تتوافر فيهم الخبرة أو الذين أدوا خدمات جليلة للوطن من بين الفئات التالية:</w:t>
      </w:r>
    </w:p>
    <w:p w14:paraId="0B1B00C1"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1) </w:t>
      </w:r>
      <w:r w:rsidRPr="00BA5CB9">
        <w:rPr>
          <w:rFonts w:asciiTheme="majorBidi" w:eastAsia="Times New Roman" w:hAnsiTheme="majorBidi" w:cstheme="majorBidi"/>
          <w:sz w:val="28"/>
          <w:szCs w:val="28"/>
          <w:rtl/>
        </w:rPr>
        <w:t xml:space="preserve">أفراد العائلة المالكة. </w:t>
      </w:r>
    </w:p>
    <w:p w14:paraId="25F89CAB"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2) </w:t>
      </w:r>
      <w:r w:rsidRPr="00BA5CB9">
        <w:rPr>
          <w:rFonts w:asciiTheme="majorBidi" w:eastAsia="Times New Roman" w:hAnsiTheme="majorBidi" w:cstheme="majorBidi"/>
          <w:sz w:val="28"/>
          <w:szCs w:val="28"/>
          <w:rtl/>
        </w:rPr>
        <w:t xml:space="preserve">الوزراء السابقين. </w:t>
      </w:r>
    </w:p>
    <w:p w14:paraId="4D9F1A92"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3) </w:t>
      </w:r>
      <w:r w:rsidRPr="00BA5CB9">
        <w:rPr>
          <w:rFonts w:asciiTheme="majorBidi" w:eastAsia="Times New Roman" w:hAnsiTheme="majorBidi" w:cstheme="majorBidi"/>
          <w:sz w:val="28"/>
          <w:szCs w:val="28"/>
          <w:rtl/>
        </w:rPr>
        <w:t>من شغل مناصب السفراء والوزراء المفوضين.</w:t>
      </w:r>
    </w:p>
    <w:p w14:paraId="6BCB33B2"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4) </w:t>
      </w:r>
      <w:r w:rsidRPr="00BA5CB9">
        <w:rPr>
          <w:rFonts w:asciiTheme="majorBidi" w:eastAsia="Times New Roman" w:hAnsiTheme="majorBidi" w:cstheme="majorBidi"/>
          <w:sz w:val="28"/>
          <w:szCs w:val="28"/>
          <w:rtl/>
        </w:rPr>
        <w:t xml:space="preserve">أعضاء الهيئات القضائية السابقين. </w:t>
      </w:r>
    </w:p>
    <w:p w14:paraId="6D8B19A4"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5) </w:t>
      </w:r>
      <w:r w:rsidRPr="00BA5CB9">
        <w:rPr>
          <w:rFonts w:asciiTheme="majorBidi" w:eastAsia="Times New Roman" w:hAnsiTheme="majorBidi" w:cstheme="majorBidi"/>
          <w:sz w:val="28"/>
          <w:szCs w:val="28"/>
          <w:rtl/>
        </w:rPr>
        <w:t>كبار الضباط المتقاعدين.</w:t>
      </w:r>
    </w:p>
    <w:p w14:paraId="0C638AAA"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6) </w:t>
      </w:r>
      <w:r w:rsidRPr="00BA5CB9">
        <w:rPr>
          <w:rFonts w:asciiTheme="majorBidi" w:eastAsia="Times New Roman" w:hAnsiTheme="majorBidi" w:cstheme="majorBidi"/>
          <w:sz w:val="28"/>
          <w:szCs w:val="28"/>
          <w:rtl/>
        </w:rPr>
        <w:t>كبار موظفي الدولة السابقين.</w:t>
      </w:r>
    </w:p>
    <w:p w14:paraId="61CB4664"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7) </w:t>
      </w:r>
      <w:r w:rsidRPr="00BA5CB9">
        <w:rPr>
          <w:rFonts w:asciiTheme="majorBidi" w:eastAsia="Times New Roman" w:hAnsiTheme="majorBidi" w:cstheme="majorBidi"/>
          <w:sz w:val="28"/>
          <w:szCs w:val="28"/>
          <w:rtl/>
        </w:rPr>
        <w:t xml:space="preserve">كبار العلماء ورجال الأعمال والمهن المختلفة. </w:t>
      </w:r>
    </w:p>
    <w:p w14:paraId="4E5851BB"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8) </w:t>
      </w:r>
      <w:r w:rsidRPr="00BA5CB9">
        <w:rPr>
          <w:rFonts w:asciiTheme="majorBidi" w:eastAsia="Times New Roman" w:hAnsiTheme="majorBidi" w:cstheme="majorBidi"/>
          <w:sz w:val="28"/>
          <w:szCs w:val="28"/>
          <w:rtl/>
        </w:rPr>
        <w:t>أعضاء مجلس النواب السابقين.</w:t>
      </w:r>
    </w:p>
    <w:p w14:paraId="2D443FE3"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9) </w:t>
      </w:r>
      <w:r w:rsidRPr="00BA5CB9">
        <w:rPr>
          <w:rFonts w:asciiTheme="majorBidi" w:eastAsia="Times New Roman" w:hAnsiTheme="majorBidi" w:cstheme="majorBidi"/>
          <w:sz w:val="28"/>
          <w:szCs w:val="28"/>
          <w:rtl/>
        </w:rPr>
        <w:t xml:space="preserve">الحائزين ثقة الشعب. </w:t>
      </w:r>
    </w:p>
    <w:p w14:paraId="2E53AFD9"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w:t>
      </w:r>
    </w:p>
    <w:p w14:paraId="5B8DDD24"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يعين الملك رئيس مجلس الشورى لمثل مدة المجلس، وينتخب المجلس نائبين لرئيس المجلس لكل دور انعقاد. </w:t>
      </w:r>
    </w:p>
    <w:p w14:paraId="6C698897"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lastRenderedPageBreak/>
        <w:t>مادة (5)</w:t>
      </w:r>
    </w:p>
    <w:p w14:paraId="27A9F2E1"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تسقط العضوية عن عضو مجلس الشورى إذا فقد أحد شروط العضوية، أو فقد الثقة والاعتبار، أو أخل بواجبات عضويته. </w:t>
      </w:r>
    </w:p>
    <w:p w14:paraId="3DD77C7A"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ويجب أن يصدر قرار إسقاط العضوية بأغلبية ثلثي أعضاء المجلس، ويرفع القرار إلى الملك لإقراره. </w:t>
      </w:r>
    </w:p>
    <w:p w14:paraId="0ECF2CE4"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(6)</w:t>
      </w:r>
    </w:p>
    <w:p w14:paraId="3CF9CEC4"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يجوز لأي عضو من أعضاء مجلس الشورى أن يطلب إعفاءه من عضوية المجلس بالتماس يقدم إلى رئيس المجلس، وعلى الرئيس أن يرفعه إلى الملك. ولا تنتهي العضوية إلا من تاريخ قبول الملك لهذا الالتماس. </w:t>
      </w:r>
    </w:p>
    <w:p w14:paraId="567E07EC"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(7)</w:t>
      </w:r>
    </w:p>
    <w:p w14:paraId="3C02D6F4"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إذا خلا محل أحد أعضاء مجلس الشورى لأي سبب من الأسباب قبل انتهاء مدة عضويته، يعين بأمر ملكي من يحل محله وذلك خلال شهر من تاريخ إعلان المجلس عن هذا الخلو.</w:t>
      </w:r>
    </w:p>
    <w:p w14:paraId="53FD2FE6"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وتكون مدة العضو الجديد لنهاية مدة سلفه. </w:t>
      </w:r>
    </w:p>
    <w:p w14:paraId="33235B8E" w14:textId="77777777" w:rsidR="00D52FDD" w:rsidRDefault="00D52FDD" w:rsidP="00D52FDD">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6E7C179F"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lastRenderedPageBreak/>
        <w:t>الباب الثاني</w:t>
      </w:r>
    </w:p>
    <w:p w14:paraId="29A32214"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مجلس النواب</w:t>
      </w:r>
    </w:p>
    <w:p w14:paraId="725F21B8"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الفصل الأول</w:t>
      </w:r>
    </w:p>
    <w:p w14:paraId="469D827C"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تكوين مجلس النواب ومدته</w:t>
      </w:r>
    </w:p>
    <w:p w14:paraId="23A3A597"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(8)</w:t>
      </w:r>
    </w:p>
    <w:p w14:paraId="581463D3"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يتألف مجلس النواب من أربعين عضواً، يُنتخبون بطريق الانتخاب العام السري المباشر، وفقاً للأحكام المنصوص عليها في المرسوم بقانون رقم (14) لسنة 2002 بشأن مباشرة الحقوق السياسية. </w:t>
      </w:r>
    </w:p>
    <w:p w14:paraId="21468AE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(9)</w:t>
      </w:r>
    </w:p>
    <w:p w14:paraId="2A4C171D"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BA5CB9">
        <w:rPr>
          <w:rFonts w:asciiTheme="majorBidi" w:eastAsia="Times New Roman" w:hAnsiTheme="majorBidi" w:cstheme="majorBidi"/>
          <w:sz w:val="28"/>
          <w:szCs w:val="28"/>
          <w:rtl/>
        </w:rPr>
        <w:t xml:space="preserve"> </w:t>
      </w:r>
      <w:r w:rsidRPr="009F6CF5">
        <w:rPr>
          <w:rFonts w:asciiTheme="majorBidi" w:hAnsiTheme="majorBidi" w:cstheme="majorBidi"/>
          <w:sz w:val="28"/>
          <w:szCs w:val="28"/>
          <w:rtl/>
        </w:rPr>
        <w:t xml:space="preserve">يكون انتخاب أعضاء مجلس النواب طبقاً لنظام الانتخاب الفردي. </w:t>
      </w:r>
    </w:p>
    <w:p w14:paraId="441F80C9"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(10)</w:t>
      </w:r>
    </w:p>
    <w:p w14:paraId="079C8347"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مدة مجلس النواب أربع سنوات تبدأ من تاريخ أول اجتماع له، وتجرى في خلال الشهور الأربعة الأخيرة من تلك المدة انتخابات المجلس الجديد، مع مراعاة حكم المادة (64) من الدستور. ويجوز إعادة انتخاب من انتهت مدة عضويته.</w:t>
      </w:r>
    </w:p>
    <w:p w14:paraId="1A64EF9F"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وللملك أن يمد الفصل التشريعي لمجلس النواب عند الضرورة بأمر ملكي مدة لا تزيد على سنتين.</w:t>
      </w:r>
    </w:p>
    <w:p w14:paraId="2D495C69"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الفصل الثاني</w:t>
      </w:r>
    </w:p>
    <w:p w14:paraId="726B0414"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 xml:space="preserve">الترشيح لعضوية مجلس النواب </w:t>
      </w:r>
    </w:p>
    <w:p w14:paraId="0E886E9A"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(11)</w:t>
      </w:r>
    </w:p>
    <w:p w14:paraId="2307BCD3"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مع عدم الإخلال بالأحكام المقررة في قانون مباشرة الحقوق السياسية، يشترط فيمن يرشح نفسه لعضوية مجلس النواب:</w:t>
      </w:r>
    </w:p>
    <w:p w14:paraId="7AE3AAF0" w14:textId="77777777" w:rsidR="00D52FDD" w:rsidRPr="00BA5CB9" w:rsidRDefault="00D52FDD" w:rsidP="00D52FDD">
      <w:pPr>
        <w:bidi/>
        <w:spacing w:after="0" w:line="360" w:lineRule="auto"/>
        <w:ind w:left="397" w:hanging="397"/>
        <w:jc w:val="lowKashida"/>
        <w:rPr>
          <w:rFonts w:asciiTheme="majorBidi" w:hAnsiTheme="majorBidi" w:cstheme="majorBidi"/>
          <w:sz w:val="28"/>
          <w:szCs w:val="28"/>
          <w:rtl/>
        </w:rPr>
      </w:pPr>
      <w:r w:rsidRPr="00BA5CB9">
        <w:rPr>
          <w:rFonts w:asciiTheme="majorBidi" w:eastAsia="Times New Roman" w:hAnsiTheme="majorBidi" w:cstheme="majorBidi"/>
          <w:sz w:val="28"/>
          <w:szCs w:val="28"/>
          <w:rtl/>
        </w:rPr>
        <w:t> </w:t>
      </w:r>
      <w:r w:rsidRPr="00BA5CB9">
        <w:rPr>
          <w:rFonts w:asciiTheme="majorBidi" w:eastAsia="Times New Roman" w:hAnsiTheme="majorBidi" w:cstheme="majorBidi"/>
          <w:b/>
          <w:bCs/>
          <w:sz w:val="28"/>
          <w:szCs w:val="28"/>
          <w:rtl/>
        </w:rPr>
        <w:t>أ</w:t>
      </w:r>
      <w:r w:rsidRPr="00BA5CB9">
        <w:rPr>
          <w:rFonts w:asciiTheme="majorBidi" w:eastAsia="Times New Roman" w:hAnsiTheme="majorBidi" w:cstheme="majorBidi"/>
          <w:sz w:val="28"/>
          <w:szCs w:val="28"/>
          <w:rtl/>
        </w:rPr>
        <w:t xml:space="preserve"> - </w:t>
      </w:r>
      <w:r w:rsidRPr="00BA5CB9">
        <w:rPr>
          <w:rFonts w:asciiTheme="majorBidi" w:hAnsiTheme="majorBidi" w:cstheme="majorBidi"/>
          <w:sz w:val="28"/>
          <w:szCs w:val="28"/>
          <w:rtl/>
        </w:rPr>
        <w:t xml:space="preserve">أن يكون بحرينياً، وأن يمضى على من اكتسب الجنسية البحرينية عشر سنوات على الأقل، وغير حامل لجنسية أخرى، باستثناء من يحمل جنسية إحدى الدول الأعضاء </w:t>
      </w:r>
      <w:r w:rsidRPr="00BA5CB9">
        <w:rPr>
          <w:rFonts w:asciiTheme="majorBidi" w:hAnsiTheme="majorBidi" w:cstheme="majorBidi"/>
          <w:sz w:val="28"/>
          <w:szCs w:val="28"/>
          <w:rtl/>
        </w:rPr>
        <w:lastRenderedPageBreak/>
        <w:t xml:space="preserve">بمجلس التعاون لدول الخليج العربية بشرط أن تكون جنسيته البحرينية بصفة أصلية، ومتمتعاً بكافة حقوقه المدنية </w:t>
      </w:r>
      <w:proofErr w:type="gramStart"/>
      <w:r w:rsidRPr="00BA5CB9">
        <w:rPr>
          <w:rFonts w:asciiTheme="majorBidi" w:hAnsiTheme="majorBidi" w:cstheme="majorBidi"/>
          <w:sz w:val="28"/>
          <w:szCs w:val="28"/>
          <w:rtl/>
        </w:rPr>
        <w:t>والسياسية.</w:t>
      </w:r>
      <w:r w:rsidRPr="00BA5CB9">
        <w:rPr>
          <w:rFonts w:asciiTheme="majorBidi" w:hAnsiTheme="majorBidi" w:cstheme="majorBidi"/>
          <w:sz w:val="28"/>
          <w:szCs w:val="28"/>
          <w:vertAlign w:val="superscript"/>
          <w:rtl/>
        </w:rPr>
        <w:t>(</w:t>
      </w:r>
      <w:proofErr w:type="gramEnd"/>
      <w:r w:rsidRPr="00BA5CB9">
        <w:rPr>
          <w:rFonts w:asciiTheme="majorBidi" w:hAnsiTheme="majorBidi" w:cstheme="majorBidi"/>
          <w:sz w:val="28"/>
          <w:szCs w:val="28"/>
          <w:vertAlign w:val="superscript"/>
          <w:rtl/>
        </w:rPr>
        <w:footnoteReference w:id="3"/>
      </w:r>
      <w:r w:rsidRPr="00BA5CB9">
        <w:rPr>
          <w:rFonts w:asciiTheme="majorBidi" w:hAnsiTheme="majorBidi" w:cstheme="majorBidi"/>
          <w:sz w:val="28"/>
          <w:szCs w:val="28"/>
          <w:vertAlign w:val="superscript"/>
          <w:rtl/>
        </w:rPr>
        <w:t>)</w:t>
      </w:r>
    </w:p>
    <w:p w14:paraId="0B21B38D"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ب</w:t>
      </w:r>
      <w:r w:rsidRPr="00BA5CB9">
        <w:rPr>
          <w:rFonts w:asciiTheme="majorBidi" w:eastAsia="Times New Roman" w:hAnsiTheme="majorBidi" w:cstheme="majorBidi"/>
          <w:sz w:val="28"/>
          <w:szCs w:val="28"/>
          <w:rtl/>
        </w:rPr>
        <w:t xml:space="preserve"> - أن يكون اسمه مدرجاً في جدول انتخاب الدائرة التي يرشح نفسه فيها. </w:t>
      </w:r>
    </w:p>
    <w:p w14:paraId="26F1CD2A"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ج</w:t>
      </w:r>
      <w:r w:rsidRPr="00BA5CB9">
        <w:rPr>
          <w:rFonts w:asciiTheme="majorBidi" w:eastAsia="Times New Roman" w:hAnsiTheme="majorBidi" w:cstheme="majorBidi"/>
          <w:sz w:val="28"/>
          <w:szCs w:val="28"/>
          <w:rtl/>
        </w:rPr>
        <w:t xml:space="preserve"> - ألا تقل سنه يوم الانتخاب عن ثلاثين سنة كاملة.</w:t>
      </w:r>
    </w:p>
    <w:p w14:paraId="25588CCA"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 </w:t>
      </w:r>
      <w:r w:rsidRPr="00BA5CB9">
        <w:rPr>
          <w:rFonts w:asciiTheme="majorBidi" w:eastAsia="Times New Roman" w:hAnsiTheme="majorBidi" w:cstheme="majorBidi"/>
          <w:b/>
          <w:bCs/>
          <w:sz w:val="28"/>
          <w:szCs w:val="28"/>
          <w:rtl/>
        </w:rPr>
        <w:t>د</w:t>
      </w:r>
      <w:r w:rsidRPr="00BA5CB9">
        <w:rPr>
          <w:rFonts w:asciiTheme="majorBidi" w:eastAsia="Times New Roman" w:hAnsiTheme="majorBidi" w:cstheme="majorBidi"/>
          <w:sz w:val="28"/>
          <w:szCs w:val="28"/>
          <w:rtl/>
        </w:rPr>
        <w:t xml:space="preserve"> - أن يجيد قراءة اللغة العربية وكتابتها. </w:t>
      </w:r>
    </w:p>
    <w:p w14:paraId="511DF4A1" w14:textId="77777777" w:rsidR="00D52FDD" w:rsidRPr="00BA5CB9" w:rsidRDefault="00D52FDD" w:rsidP="00D52FDD">
      <w:pPr>
        <w:bidi/>
        <w:spacing w:after="0" w:line="360" w:lineRule="auto"/>
        <w:ind w:left="397" w:hanging="397"/>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هـ </w:t>
      </w:r>
      <w:r w:rsidRPr="00BA5CB9">
        <w:rPr>
          <w:rFonts w:asciiTheme="majorBidi" w:eastAsia="Times New Roman" w:hAnsiTheme="majorBidi" w:cstheme="majorBidi"/>
          <w:sz w:val="28"/>
          <w:szCs w:val="28"/>
          <w:rtl/>
        </w:rPr>
        <w:t xml:space="preserve">- ألا تكون عضويته بمجلس الشورى أو مجلس النواب قد أسقطت بقرار من المجلس الذي ينتمي إليه بسبب فقد الثقة أو الاعتبار أو بسبب الإخلال بواجبات العضوية. ومع ذلك يجوز لمن أسقطت عضويته الترشيح إذا انقضى الفصل التشريعي الذي صدر خلاله قرار إسقاط العضوية، أو صدر قرار من المجلس الذي كان عضواً فيه بإلغاء الأثر المانع من الترشيح المترتب على إسقاط العضوية بعد انقضاء دور الانعقاد الذي صدر خلاله قرار إسقاط العضوية. </w:t>
      </w:r>
    </w:p>
    <w:p w14:paraId="053E96C3" w14:textId="77777777" w:rsidR="00D52FDD" w:rsidRPr="00BA5CB9" w:rsidRDefault="00D52FDD" w:rsidP="00D52FDD">
      <w:pPr>
        <w:bidi/>
        <w:spacing w:after="0" w:line="360" w:lineRule="auto"/>
        <w:ind w:left="397" w:hanging="397"/>
        <w:rPr>
          <w:rFonts w:asciiTheme="majorBidi" w:hAnsiTheme="majorBidi" w:cstheme="majorBidi"/>
          <w:sz w:val="28"/>
          <w:szCs w:val="28"/>
          <w:rtl/>
        </w:rPr>
      </w:pPr>
      <w:r w:rsidRPr="00AD7A87">
        <w:rPr>
          <w:rFonts w:asciiTheme="majorBidi" w:hAnsiTheme="majorBidi" w:cstheme="majorBidi"/>
          <w:b/>
          <w:bCs/>
          <w:sz w:val="28"/>
          <w:szCs w:val="28"/>
          <w:rtl/>
        </w:rPr>
        <w:t>و</w:t>
      </w:r>
      <w:r w:rsidRPr="00AD7A87">
        <w:rPr>
          <w:rFonts w:asciiTheme="majorBidi" w:hAnsiTheme="majorBidi" w:cstheme="majorBidi"/>
          <w:b/>
          <w:bCs/>
          <w:sz w:val="28"/>
          <w:szCs w:val="28"/>
        </w:rPr>
        <w:t>-</w:t>
      </w:r>
      <w:r w:rsidRPr="00BA5CB9">
        <w:rPr>
          <w:rFonts w:asciiTheme="majorBidi" w:hAnsiTheme="majorBidi" w:cstheme="majorBidi"/>
          <w:sz w:val="28"/>
          <w:szCs w:val="28"/>
          <w:rtl/>
        </w:rPr>
        <w:t xml:space="preserve"> ألا تكون عضويته بمجلس النواب قد زالت بسبب الاستقالة وذلك خلال الفصل التشريعي الذي قدم فيه </w:t>
      </w:r>
      <w:proofErr w:type="gramStart"/>
      <w:r w:rsidRPr="00BA5CB9">
        <w:rPr>
          <w:rFonts w:asciiTheme="majorBidi" w:hAnsiTheme="majorBidi" w:cstheme="majorBidi"/>
          <w:sz w:val="28"/>
          <w:szCs w:val="28"/>
          <w:rtl/>
        </w:rPr>
        <w:t>استقالته.</w:t>
      </w:r>
      <w:r w:rsidRPr="00BA5CB9">
        <w:rPr>
          <w:rFonts w:asciiTheme="majorBidi" w:hAnsiTheme="majorBidi" w:cstheme="majorBidi"/>
          <w:sz w:val="28"/>
          <w:szCs w:val="28"/>
          <w:vertAlign w:val="superscript"/>
          <w:rtl/>
        </w:rPr>
        <w:t>(</w:t>
      </w:r>
      <w:proofErr w:type="gramEnd"/>
      <w:r w:rsidRPr="00BA5CB9">
        <w:rPr>
          <w:rFonts w:asciiTheme="majorBidi" w:hAnsiTheme="majorBidi" w:cstheme="majorBidi"/>
          <w:sz w:val="28"/>
          <w:szCs w:val="28"/>
          <w:vertAlign w:val="superscript"/>
          <w:rtl/>
        </w:rPr>
        <w:footnoteReference w:id="4"/>
      </w:r>
      <w:r w:rsidRPr="00BA5CB9">
        <w:rPr>
          <w:rFonts w:asciiTheme="majorBidi" w:hAnsiTheme="majorBidi" w:cstheme="majorBidi"/>
          <w:sz w:val="28"/>
          <w:szCs w:val="28"/>
          <w:vertAlign w:val="superscript"/>
          <w:rtl/>
        </w:rPr>
        <w:t>)</w:t>
      </w:r>
    </w:p>
    <w:p w14:paraId="4D2A7B40"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(12)</w:t>
      </w:r>
    </w:p>
    <w:p w14:paraId="71C719DE"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يقدم من يرغب في ترشيح نفسه لعضوية مجلس النواب طلب الترشيح كتابة على الاستمارة الخاصة بذلك إلى لجنة الإشراف على سلامة الاستفتاء والانتخاب المنصوص عليها في المادة السابعة من المرسوم بقانون رقم (14) لسنة 2002 بشأن مباشرة الحقوق السياسية، على أن يُحدد في هذا الطلب الدائرة التي يرشح نفسه فيها، ولا يجوز أن يتضمن طلب الترشيح أية عبارات أو بيانات غير المحددة فيه وإلا كان غير مقبول. </w:t>
      </w:r>
    </w:p>
    <w:p w14:paraId="7E384EC2"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lastRenderedPageBreak/>
        <w:t xml:space="preserve">ويجب أن يكون طلب الترشيح مصحوباً بإيصال يفيد إيداع خزانة وزارة العدل والشئون الإسلامية مبلغاً نقدياً </w:t>
      </w:r>
      <w:r>
        <w:rPr>
          <w:rFonts w:asciiTheme="majorBidi" w:hAnsiTheme="majorBidi" w:cstheme="majorBidi" w:hint="cs"/>
          <w:sz w:val="28"/>
          <w:szCs w:val="28"/>
          <w:rtl/>
        </w:rPr>
        <w:t>-</w:t>
      </w:r>
      <w:r w:rsidRPr="009F6CF5">
        <w:rPr>
          <w:rFonts w:asciiTheme="majorBidi" w:hAnsiTheme="majorBidi" w:cstheme="majorBidi"/>
          <w:sz w:val="28"/>
          <w:szCs w:val="28"/>
          <w:rtl/>
        </w:rPr>
        <w:t xml:space="preserve"> غير قابل للرد </w:t>
      </w:r>
      <w:r>
        <w:rPr>
          <w:rFonts w:asciiTheme="majorBidi" w:hAnsiTheme="majorBidi" w:cstheme="majorBidi" w:hint="cs"/>
          <w:sz w:val="28"/>
          <w:szCs w:val="28"/>
          <w:rtl/>
        </w:rPr>
        <w:t xml:space="preserve">- </w:t>
      </w:r>
      <w:r w:rsidRPr="009F6CF5">
        <w:rPr>
          <w:rFonts w:asciiTheme="majorBidi" w:hAnsiTheme="majorBidi" w:cstheme="majorBidi"/>
          <w:sz w:val="28"/>
          <w:szCs w:val="28"/>
          <w:rtl/>
        </w:rPr>
        <w:t xml:space="preserve">مقداره مائتا دينار، وتؤول حصيلة هذه المبالغ إلى أحد الأنشطة الاجتماعية التي تتولاها وزارة العمل والشئون الاجتماعية. </w:t>
      </w:r>
    </w:p>
    <w:p w14:paraId="51326515"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وتقيد طلبات الترشيح بحسب تواريخ ورودها في سجل خاص، وتعطى عنها إيصالات. </w:t>
      </w:r>
    </w:p>
    <w:p w14:paraId="155CB32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(13)</w:t>
      </w:r>
    </w:p>
    <w:p w14:paraId="2052389D"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يعرض في مقر كل دائرة انتخابية كشف يتضمن أسماء مرشحيها، وذلك لمدة الثلاثة أيام التالية لقفل باب الترشيح. </w:t>
      </w:r>
    </w:p>
    <w:p w14:paraId="0D529729"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ولكل من تقدم للترشيح ولم يرد اسمه في الكشف المعد لذلك أن يطلب من اللجنة المشار إليها في المادة السابقة إدراج اسمه ضمن المرشحين، أو الاعتراض على إدراج اسم أي من المرشحين، وذلك خلال مدة عرض ذلك الكشف. </w:t>
      </w:r>
    </w:p>
    <w:p w14:paraId="347DB53F"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وتصدر اللجنة قرارها في الطلب أو الاعتراض خلال ثلاثة أيام من تاريخ تقديمه، ويعتبر عدم إصدار اللجنة لقرارها في ذلك الأجل قراراً ضمنياً بالرفض، ويكون لصاحب الشأن حق الطعن في قرار الرفض أمام محكمة الاستئناف العليا المدنية في موعد لا يتجاوز ثلاثة أيام من تاريخ صدوره، وتفصل المحكمة في الطعن خلال سبعة أيام من تاريخ إقامة الدعوى بحكم نهائي غير قابل للطعن. </w:t>
      </w:r>
    </w:p>
    <w:p w14:paraId="559EF1F3"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وتعرض الكشوف النهائية لأسماء المرشحين كل في مقر دائرته الانتخابية، وتعلن هذه الأسماء في إحدى وسائل النشر المحلية.</w:t>
      </w:r>
    </w:p>
    <w:p w14:paraId="4DB4DCB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(14)</w:t>
      </w:r>
    </w:p>
    <w:p w14:paraId="2E84C987"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للمرشح بعد عرض الكشوف النهائية للمرشحين الحق في الحصول على صورة رسمية واحدة من جدول الناخبين في الدائرة المرشح فيها.</w:t>
      </w:r>
    </w:p>
    <w:p w14:paraId="3734007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(15)</w:t>
      </w:r>
    </w:p>
    <w:p w14:paraId="6103509D"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للمرشح أن يتنازل عن الترشيح بإخطار اللجنة المشار إليها في المادة (12) من هذا القانون كتابة، وذلك قبل يوم الانتخاب بعشرة أيام على الأقل، ويثبت التنازل أمام اسمه في </w:t>
      </w:r>
      <w:r w:rsidRPr="009F6CF5">
        <w:rPr>
          <w:rFonts w:asciiTheme="majorBidi" w:hAnsiTheme="majorBidi" w:cstheme="majorBidi"/>
          <w:sz w:val="28"/>
          <w:szCs w:val="28"/>
          <w:rtl/>
        </w:rPr>
        <w:lastRenderedPageBreak/>
        <w:t xml:space="preserve">كشف المرشحين في الدائرة، ويعلن هذا التنازل يوم الانتخاب على باب مقر اللجان الفرعية في الدائرة المرشح فيها. </w:t>
      </w:r>
    </w:p>
    <w:p w14:paraId="57388062"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وتنشر وزارة العدل والشئون الإسلامية إعلاناً عن هذا التنازل في إحدى وسائل النشر المحلية قبل الموعد المحدد للانتخاب بثلاثة أيام على الأقل. </w:t>
      </w:r>
    </w:p>
    <w:p w14:paraId="2DA21847" w14:textId="77777777" w:rsidR="00D52FDD" w:rsidRPr="00BA5CB9" w:rsidRDefault="00D52FDD" w:rsidP="00D52FDD">
      <w:pPr>
        <w:pStyle w:val="Heading2"/>
        <w:spacing w:line="240" w:lineRule="auto"/>
        <w:rPr>
          <w:rFonts w:asciiTheme="majorBidi" w:eastAsia="Times New Roman" w:hAnsiTheme="majorBidi" w:cstheme="majorBidi"/>
          <w:rtl/>
        </w:rPr>
      </w:pPr>
      <w:r w:rsidRPr="004D7831">
        <w:rPr>
          <w:rFonts w:eastAsia="Times New Roman" w:cs="PT Bold Heading"/>
          <w:rtl/>
          <w:lang w:eastAsia="ar-SA"/>
        </w:rPr>
        <w:t>مادة (16)</w:t>
      </w:r>
    </w:p>
    <w:p w14:paraId="3E8A2C1E"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يمنح كل موظف مرشح لعضوية مجلس النواب إجازة بدون راتب - إذا لم يكن له رصيد كاف من الإجازات - ابتداءً من اليوم التالي لقفل باب الترشيح حتى انتهاء عملية الانتخاب، ولا يجوز له خلال تلك الفترة ممارسة أي اختصاص من اختصاصات الوظيفة العامة. </w:t>
      </w:r>
    </w:p>
    <w:p w14:paraId="55CB49F2"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(17)</w:t>
      </w:r>
    </w:p>
    <w:p w14:paraId="72E0BAF4"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لا يقبل طلب ترشيح الوزراء ورجال القضاء والنيابة العامة لعضوية مجلس النواب إلا إذا استقالوا مقدماً من مناصبهم.</w:t>
      </w:r>
    </w:p>
    <w:p w14:paraId="32710E04"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(18)</w:t>
      </w:r>
    </w:p>
    <w:p w14:paraId="36336E2B"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يسري في شأن منتسبي قوة دفاع البحرين وقوات الأمن العام والحرس الوطني فيما يتعلق بمباشرة حق الترشيح لعضوية مجلس النواب ما تنص عليه القوانين والأنظمة والتعليمات الخاصة بخدمتهم في هذا الشأن.</w:t>
      </w:r>
    </w:p>
    <w:p w14:paraId="6E1642B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(19)</w:t>
      </w:r>
    </w:p>
    <w:p w14:paraId="670AFB57"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إذا لم يتقدم للترشيح لعضوية مجلس النواب في دائرة انتخابية إلا العدد المحدد لها، أو لم يبق إلا هذا العدد لأي سبب كان، أعلن وزير العدل والشئون الإسلامية فوز هؤلاء المرشحين بالعضوية دون حاجة إلى إجراء الانتخاب في الدائرة. </w:t>
      </w:r>
    </w:p>
    <w:p w14:paraId="2B5918BD"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lastRenderedPageBreak/>
        <w:t>مادة (</w:t>
      </w:r>
      <w:proofErr w:type="gramStart"/>
      <w:r w:rsidRPr="004D7831">
        <w:rPr>
          <w:rFonts w:eastAsia="Times New Roman" w:cs="PT Bold Heading"/>
          <w:rtl/>
          <w:lang w:eastAsia="ar-SA"/>
        </w:rPr>
        <w:t>20)</w:t>
      </w:r>
      <w:r w:rsidRPr="004D7831">
        <w:rPr>
          <w:rFonts w:eastAsia="Times New Roman" w:cs="PT Bold Heading"/>
          <w:vertAlign w:val="superscript"/>
          <w:rtl/>
          <w:lang w:eastAsia="ar-SA"/>
        </w:rPr>
        <w:t>(</w:t>
      </w:r>
      <w:proofErr w:type="gramEnd"/>
      <w:r w:rsidRPr="004D7831">
        <w:rPr>
          <w:rFonts w:eastAsia="Times New Roman" w:cs="PT Bold Heading"/>
          <w:vertAlign w:val="superscript"/>
          <w:rtl/>
          <w:lang w:eastAsia="ar-SA"/>
        </w:rPr>
        <w:footnoteReference w:id="5"/>
      </w:r>
      <w:r w:rsidRPr="004D7831">
        <w:rPr>
          <w:rFonts w:eastAsia="Times New Roman" w:cs="PT Bold Heading"/>
          <w:vertAlign w:val="superscript"/>
          <w:rtl/>
          <w:lang w:eastAsia="ar-SA"/>
        </w:rPr>
        <w:t>)</w:t>
      </w:r>
    </w:p>
    <w:p w14:paraId="1416E63A" w14:textId="77777777" w:rsidR="00D52FDD" w:rsidRPr="00BA5CB9" w:rsidRDefault="00D52FDD" w:rsidP="00D52FDD">
      <w:pPr>
        <w:bidi/>
        <w:spacing w:after="0" w:line="360" w:lineRule="auto"/>
        <w:ind w:firstLine="282"/>
        <w:jc w:val="lowKashida"/>
        <w:rPr>
          <w:rFonts w:asciiTheme="majorBidi" w:hAnsiTheme="majorBidi" w:cstheme="majorBidi"/>
          <w:sz w:val="28"/>
          <w:szCs w:val="28"/>
        </w:rPr>
      </w:pPr>
      <w:r w:rsidRPr="00BA5CB9">
        <w:rPr>
          <w:rFonts w:asciiTheme="majorBidi" w:hAnsiTheme="majorBidi" w:cstheme="majorBidi"/>
          <w:sz w:val="28"/>
          <w:szCs w:val="28"/>
          <w:rtl/>
        </w:rPr>
        <w:t>ينتخب عضو مجلس النواب بالأغلبية المطلقة لعدد الأصوات الصحيحة التي أعطيت في الانتخاب. فإن لم تتحقق هذه الأغلبية لأحد من المرشحين في الدائرة أعيد الانتخاب بين الاثنين الحاصلين على أكبر عدد من الأصوات، فإن تساوى مع ثانيهما غيره في عدد الأصوات اشترك معهما في انتخاب المرة الثانية، وفي هذه الحالة يعتبر فائزاً من حصل على أكبر عدد من الأصوات، فإن تساوى أكثر من واحد تجرى القرعة فيما بينهم بمعرفة رئيس لجنة الإشراف على سلامة الانتخاب.</w:t>
      </w:r>
    </w:p>
    <w:p w14:paraId="4D8AF132"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BA5CB9">
        <w:rPr>
          <w:rFonts w:asciiTheme="majorBidi" w:hAnsiTheme="majorBidi" w:cstheme="majorBidi"/>
          <w:sz w:val="28"/>
          <w:szCs w:val="28"/>
          <w:rtl/>
        </w:rPr>
        <w:t>وفي جميع الأحوال يثبت رئيس اللجنة الفرعية في محضر الفرز عدد ما حصل عليه كل مرشح من أصوات في دائرته، ويوقع رئيس اللجنة وأمين السر هذا المحضر وتقفل صناديق أوراق الاقتراع، ويرسل المحضر والأوراق الانتخابية إلى رئيس لجنة الإشراف على سلامة الانتخاب الذي يتولى الإعلان عن اسم المرشح الفائز.</w:t>
      </w:r>
    </w:p>
    <w:p w14:paraId="6653F8D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(21)</w:t>
      </w:r>
    </w:p>
    <w:p w14:paraId="3E7EE6C4"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لكل مرشح في الدائرة الانتخابية حق الطعن في نتيجة الانتخاب الذي جرى في دائرته أمام محكمة التمييز خلال خمسة عشر يوماً من تاريخ إعلان النتيجة العامة للانتخاب. فإذا ثبت لهذه المحكمة - بعد </w:t>
      </w:r>
      <w:proofErr w:type="spellStart"/>
      <w:r w:rsidRPr="009F6CF5">
        <w:rPr>
          <w:rFonts w:asciiTheme="majorBidi" w:hAnsiTheme="majorBidi" w:cstheme="majorBidi"/>
          <w:sz w:val="28"/>
          <w:szCs w:val="28"/>
          <w:rtl/>
        </w:rPr>
        <w:t>الإطلاع</w:t>
      </w:r>
      <w:proofErr w:type="spellEnd"/>
      <w:r w:rsidRPr="009F6CF5">
        <w:rPr>
          <w:rFonts w:asciiTheme="majorBidi" w:hAnsiTheme="majorBidi" w:cstheme="majorBidi"/>
          <w:sz w:val="28"/>
          <w:szCs w:val="28"/>
          <w:rtl/>
        </w:rPr>
        <w:t xml:space="preserve"> على الأوراق وسماع أقوال كل من الطاعن والمطعون في انتخابه ومن تراه محلاً لسماع شهادته - صحة الطعن أبطلت نجاح العضو المطعون في انتخابه، ويجوز للمحكمة في هذه الحالة أن تقضي بفوز المرشح الذي يتبين لها صحة انتخابه، وذلك إذا لم تكن أسباب الطعن وملابساته تقتضي إعادة الانتخاب. </w:t>
      </w:r>
    </w:p>
    <w:p w14:paraId="2567B4B0"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ولا يحول تقديم الطعن الانتخابي بين العضو المطعون ضده وممارسته لصلاحياته في مجلس النواب خلال الفترة السابقة على صدور حكم المحكمة في الطعن. ويكون أثر الحكم </w:t>
      </w:r>
      <w:r w:rsidRPr="009F6CF5">
        <w:rPr>
          <w:rFonts w:asciiTheme="majorBidi" w:hAnsiTheme="majorBidi" w:cstheme="majorBidi"/>
          <w:sz w:val="28"/>
          <w:szCs w:val="28"/>
          <w:rtl/>
        </w:rPr>
        <w:lastRenderedPageBreak/>
        <w:t xml:space="preserve">ببطلان انتخاب العضو مقصوراً على المستقبل دون أن يرتد هذا الأثر إلى ما قبل صدور الحكم. </w:t>
      </w:r>
    </w:p>
    <w:p w14:paraId="168B825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الفصل الثالث</w:t>
      </w:r>
    </w:p>
    <w:p w14:paraId="01149C4D"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الدعاية الانتخابية</w:t>
      </w:r>
    </w:p>
    <w:p w14:paraId="0EBCF524"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 xml:space="preserve">مادة (22) </w:t>
      </w:r>
      <w:r w:rsidRPr="004D7831">
        <w:rPr>
          <w:rFonts w:eastAsia="Times New Roman" w:cs="PT Bold Heading"/>
          <w:vertAlign w:val="superscript"/>
          <w:rtl/>
          <w:lang w:eastAsia="ar-SA"/>
        </w:rPr>
        <w:t>(</w:t>
      </w:r>
      <w:r w:rsidRPr="004D7831">
        <w:rPr>
          <w:rFonts w:eastAsia="Times New Roman" w:cs="PT Bold Heading"/>
          <w:vertAlign w:val="superscript"/>
          <w:rtl/>
          <w:lang w:eastAsia="ar-SA"/>
        </w:rPr>
        <w:footnoteReference w:id="6"/>
      </w:r>
      <w:r w:rsidRPr="004D7831">
        <w:rPr>
          <w:rFonts w:eastAsia="Times New Roman" w:cs="PT Bold Heading"/>
          <w:vertAlign w:val="superscript"/>
          <w:rtl/>
          <w:lang w:eastAsia="ar-SA"/>
        </w:rPr>
        <w:t>)</w:t>
      </w:r>
    </w:p>
    <w:p w14:paraId="02151E48"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تكون الدعاية الانتخابية حرة وفق أحكام هذا القانون ويسمح لأي مرشح القيام بها ابتداء من تاريخ قبول الترشيح وفقاً للضوابط الآتية: </w:t>
      </w:r>
    </w:p>
    <w:p w14:paraId="7F37519C" w14:textId="77777777" w:rsidR="00D52FDD" w:rsidRPr="00BA5CB9" w:rsidRDefault="00D52FDD" w:rsidP="00D52FDD">
      <w:pPr>
        <w:bidi/>
        <w:spacing w:after="0" w:line="360" w:lineRule="auto"/>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 أ </w:t>
      </w:r>
      <w:r w:rsidRPr="00BA5CB9">
        <w:rPr>
          <w:rFonts w:asciiTheme="majorBidi" w:eastAsia="Times New Roman" w:hAnsiTheme="majorBidi" w:cstheme="majorBidi"/>
          <w:sz w:val="28"/>
          <w:szCs w:val="28"/>
          <w:rtl/>
        </w:rPr>
        <w:t>- يتعين على المرشح عند ممارسته الدعاية الانتخابية التقيد بما يلي:</w:t>
      </w:r>
    </w:p>
    <w:p w14:paraId="0842BEA2" w14:textId="77777777" w:rsidR="00D52FDD" w:rsidRPr="00BA5CB9" w:rsidRDefault="00D52FDD" w:rsidP="00D52FDD">
      <w:pPr>
        <w:bidi/>
        <w:spacing w:after="0" w:line="360" w:lineRule="auto"/>
        <w:ind w:left="849" w:hanging="425"/>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1</w:t>
      </w:r>
      <w:proofErr w:type="gramStart"/>
      <w:r w:rsidRPr="00BA5CB9">
        <w:rPr>
          <w:rFonts w:asciiTheme="majorBidi" w:eastAsia="Times New Roman" w:hAnsiTheme="majorBidi" w:cstheme="majorBidi"/>
          <w:sz w:val="28"/>
          <w:szCs w:val="28"/>
          <w:rtl/>
        </w:rPr>
        <w:t xml:space="preserve">- </w:t>
      </w:r>
      <w:r>
        <w:rPr>
          <w:rFonts w:asciiTheme="majorBidi" w:eastAsia="Times New Roman" w:hAnsiTheme="majorBidi" w:cstheme="majorBidi"/>
          <w:sz w:val="28"/>
          <w:szCs w:val="28"/>
        </w:rPr>
        <w:t xml:space="preserve"> </w:t>
      </w:r>
      <w:r w:rsidRPr="00BA5CB9">
        <w:rPr>
          <w:rFonts w:asciiTheme="majorBidi" w:eastAsia="Times New Roman" w:hAnsiTheme="majorBidi" w:cstheme="majorBidi"/>
          <w:sz w:val="28"/>
          <w:szCs w:val="28"/>
          <w:rtl/>
        </w:rPr>
        <w:t>الالتزام</w:t>
      </w:r>
      <w:proofErr w:type="gramEnd"/>
      <w:r w:rsidRPr="00BA5CB9">
        <w:rPr>
          <w:rFonts w:asciiTheme="majorBidi" w:eastAsia="Times New Roman" w:hAnsiTheme="majorBidi" w:cstheme="majorBidi"/>
          <w:sz w:val="28"/>
          <w:szCs w:val="28"/>
          <w:rtl/>
        </w:rPr>
        <w:t xml:space="preserve"> بأحكام الدستور واحترام سيادة القانون.</w:t>
      </w:r>
    </w:p>
    <w:p w14:paraId="0397FD7C" w14:textId="77777777" w:rsidR="00D52FDD" w:rsidRPr="00BA5CB9" w:rsidRDefault="00D52FDD" w:rsidP="00D52FDD">
      <w:pPr>
        <w:bidi/>
        <w:spacing w:after="0" w:line="360" w:lineRule="auto"/>
        <w:ind w:left="849" w:hanging="425"/>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 xml:space="preserve">2 - احترام حرية الرأي والفكر لدى الغير. </w:t>
      </w:r>
    </w:p>
    <w:p w14:paraId="78E42D19" w14:textId="77777777" w:rsidR="00D52FDD" w:rsidRPr="00BA5CB9" w:rsidRDefault="00D52FDD" w:rsidP="00D52FDD">
      <w:pPr>
        <w:bidi/>
        <w:spacing w:after="0" w:line="360" w:lineRule="auto"/>
        <w:ind w:left="849" w:hanging="425"/>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 xml:space="preserve">3 - الالتزام بالمحافظة على الوحدة الوطنية وأمن الوطن واستقراره وعدم القيام بكل ما يثير الفرقة أو الطائفية بين المواطنين. </w:t>
      </w:r>
    </w:p>
    <w:p w14:paraId="64A31AFB" w14:textId="77777777" w:rsidR="00D52FDD" w:rsidRPr="00BA5CB9" w:rsidRDefault="00D52FDD" w:rsidP="00D52FDD">
      <w:pPr>
        <w:bidi/>
        <w:spacing w:after="0" w:line="360" w:lineRule="auto"/>
        <w:ind w:left="849" w:hanging="425"/>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 xml:space="preserve">4 - الالتزام بعدم إجراء الدعاية الانتخابية في الوزارات والإدارات التابعة لها والأجهزة الملحقة بها والهيئات والمؤسسات العامة. </w:t>
      </w:r>
    </w:p>
    <w:p w14:paraId="604EF59C" w14:textId="77777777" w:rsidR="00D52FDD" w:rsidRPr="00BA5CB9" w:rsidRDefault="00D52FDD" w:rsidP="00D52FDD">
      <w:pPr>
        <w:bidi/>
        <w:spacing w:after="0" w:line="360" w:lineRule="auto"/>
        <w:ind w:left="849" w:hanging="425"/>
        <w:jc w:val="lowKashida"/>
        <w:rPr>
          <w:rFonts w:asciiTheme="majorBidi" w:eastAsia="Times New Roman" w:hAnsiTheme="majorBidi" w:cstheme="majorBidi"/>
          <w:sz w:val="28"/>
          <w:szCs w:val="28"/>
          <w:rtl/>
        </w:rPr>
      </w:pPr>
      <w:r w:rsidRPr="00BA5CB9">
        <w:rPr>
          <w:rFonts w:asciiTheme="majorBidi" w:eastAsia="Times New Roman" w:hAnsiTheme="majorBidi" w:cstheme="majorBidi"/>
          <w:sz w:val="28"/>
          <w:szCs w:val="28"/>
          <w:rtl/>
        </w:rPr>
        <w:t>5 - الالتزام بعدم التعرض في الدعاية الانتخابية لغيره من المرشحين سواءً بصورة شخصية أو بواسطة معاونيه في حملته الانتخابية.</w:t>
      </w:r>
    </w:p>
    <w:p w14:paraId="50314720" w14:textId="77777777" w:rsidR="00D52FDD" w:rsidRPr="00BA5CB9" w:rsidRDefault="00D52FDD" w:rsidP="00D52FDD">
      <w:pPr>
        <w:bidi/>
        <w:spacing w:after="0" w:line="360" w:lineRule="auto"/>
        <w:ind w:left="424" w:hanging="424"/>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ب </w:t>
      </w:r>
      <w:r w:rsidRPr="00BA5CB9">
        <w:rPr>
          <w:rFonts w:asciiTheme="majorBidi" w:eastAsia="Times New Roman" w:hAnsiTheme="majorBidi" w:cstheme="majorBidi"/>
          <w:sz w:val="28"/>
          <w:szCs w:val="28"/>
          <w:rtl/>
        </w:rPr>
        <w:t xml:space="preserve">- يمنع تنظيم وعقد الاجتماعات الانتخابية وإلقاء الخطب الانتخابية في دور العبادة والجامعات والمعاهد العلمية والمدارس الحكومية والخاصة والميادين والشوارع والطرق العامة وكذلك في الأبنية التي تشغلها الوزارات والإدارات التابعة لها والأجهزة الملحقة بها والهيئات والمؤسسات العامة. </w:t>
      </w:r>
    </w:p>
    <w:p w14:paraId="0D826E38"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lastRenderedPageBreak/>
        <w:t>مادة (23)</w:t>
      </w:r>
    </w:p>
    <w:p w14:paraId="5FCB1AC8" w14:textId="77777777" w:rsidR="00D52FDD" w:rsidRPr="00BA5CB9" w:rsidRDefault="00D52FDD" w:rsidP="00D52FDD">
      <w:pPr>
        <w:bidi/>
        <w:spacing w:after="0" w:line="360" w:lineRule="auto"/>
        <w:ind w:left="397" w:hanging="397"/>
        <w:jc w:val="lowKashida"/>
        <w:rPr>
          <w:rFonts w:asciiTheme="majorBidi" w:eastAsia="Times New Roman" w:hAnsiTheme="majorBidi" w:cstheme="majorBidi"/>
          <w:sz w:val="28"/>
          <w:szCs w:val="28"/>
          <w:rtl/>
        </w:rPr>
      </w:pPr>
      <w:proofErr w:type="gramStart"/>
      <w:r w:rsidRPr="00BA5CB9">
        <w:rPr>
          <w:rFonts w:asciiTheme="majorBidi" w:eastAsia="Times New Roman" w:hAnsiTheme="majorBidi" w:cstheme="majorBidi"/>
          <w:b/>
          <w:bCs/>
          <w:sz w:val="28"/>
          <w:szCs w:val="28"/>
          <w:rtl/>
        </w:rPr>
        <w:t xml:space="preserve">أ </w:t>
      </w:r>
      <w:r>
        <w:rPr>
          <w:rFonts w:asciiTheme="majorBidi" w:eastAsia="Times New Roman" w:hAnsiTheme="majorBidi" w:cstheme="majorBidi"/>
          <w:b/>
          <w:bCs/>
          <w:sz w:val="28"/>
          <w:szCs w:val="28"/>
        </w:rPr>
        <w:t xml:space="preserve"> </w:t>
      </w:r>
      <w:r w:rsidRPr="00BA5CB9">
        <w:rPr>
          <w:rFonts w:asciiTheme="majorBidi" w:eastAsia="Times New Roman" w:hAnsiTheme="majorBidi" w:cstheme="majorBidi"/>
          <w:sz w:val="28"/>
          <w:szCs w:val="28"/>
          <w:rtl/>
        </w:rPr>
        <w:t>-</w:t>
      </w:r>
      <w:proofErr w:type="gramEnd"/>
      <w:r w:rsidRPr="00BA5CB9">
        <w:rPr>
          <w:rFonts w:asciiTheme="majorBidi" w:eastAsia="Times New Roman" w:hAnsiTheme="majorBidi" w:cstheme="majorBidi"/>
          <w:sz w:val="28"/>
          <w:szCs w:val="28"/>
          <w:rtl/>
        </w:rPr>
        <w:t xml:space="preserve"> تحدد كل بلدية في نطاق المحافظة أماكن خاصة تعلق بها الإعلانات بما في ذلك الملصقات والبيانات الانتخابية وتخصص في كل هذه الأماكن مساحات متساوية للمرشحين.</w:t>
      </w:r>
    </w:p>
    <w:p w14:paraId="0DCF4C97" w14:textId="77777777" w:rsidR="00D52FDD" w:rsidRPr="00BA5CB9" w:rsidRDefault="00D52FDD" w:rsidP="00D52FDD">
      <w:pPr>
        <w:bidi/>
        <w:spacing w:after="0" w:line="360" w:lineRule="auto"/>
        <w:ind w:left="397" w:hanging="397"/>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ب </w:t>
      </w:r>
      <w:r w:rsidRPr="00BA5CB9">
        <w:rPr>
          <w:rFonts w:asciiTheme="majorBidi" w:eastAsia="Times New Roman" w:hAnsiTheme="majorBidi" w:cstheme="majorBidi"/>
          <w:sz w:val="28"/>
          <w:szCs w:val="28"/>
          <w:rtl/>
        </w:rPr>
        <w:t>- للمرشحين نشر الإعلانات بما في ذلك الملصقات والبيانات المتضمنة أهدافهم وخططهم ومناهج عملهم في الأماكن المخصصة لذلك على أن تحمل أسماءهم الصريحة وتعفى هذه الإعلانات والبيانات من الترخيص والرسوم.</w:t>
      </w:r>
    </w:p>
    <w:p w14:paraId="64B9FFD7" w14:textId="77777777" w:rsidR="00D52FDD" w:rsidRPr="00BA5CB9" w:rsidRDefault="00D52FDD" w:rsidP="00D52FDD">
      <w:pPr>
        <w:bidi/>
        <w:spacing w:after="0" w:line="360" w:lineRule="auto"/>
        <w:ind w:left="397" w:hanging="397"/>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ج</w:t>
      </w:r>
      <w:r w:rsidRPr="00BA5CB9">
        <w:rPr>
          <w:rFonts w:asciiTheme="majorBidi" w:eastAsia="Times New Roman" w:hAnsiTheme="majorBidi" w:cstheme="majorBidi"/>
          <w:sz w:val="28"/>
          <w:szCs w:val="28"/>
          <w:rtl/>
        </w:rPr>
        <w:t xml:space="preserve"> - يحظر إلصاق أي إعلان أو بيان انتخابي بما في ذلك الملصقات والصور والرسوم والكتابات في غير المكان المخصص لذلك، ولمدير عام البلدية الحق في إصدار قرار بإزالة أية مخالفة لهذا الحظر على نفقة من تتعلق بهم تلك الملصقات والصور والرسوم والكتابات من المرشحين دون الحاجة إلى إنذارهم.</w:t>
      </w:r>
    </w:p>
    <w:p w14:paraId="4E98C3C8" w14:textId="77777777" w:rsidR="00D52FDD" w:rsidRPr="00BA5CB9" w:rsidRDefault="00D52FDD" w:rsidP="00D52FDD">
      <w:pPr>
        <w:bidi/>
        <w:spacing w:after="0" w:line="360" w:lineRule="auto"/>
        <w:ind w:left="397" w:hanging="397"/>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د </w:t>
      </w:r>
      <w:proofErr w:type="gramStart"/>
      <w:r w:rsidRPr="00BA5CB9">
        <w:rPr>
          <w:rFonts w:asciiTheme="majorBidi" w:eastAsia="Times New Roman" w:hAnsiTheme="majorBidi" w:cstheme="majorBidi"/>
          <w:sz w:val="28"/>
          <w:szCs w:val="28"/>
          <w:rtl/>
        </w:rPr>
        <w:t xml:space="preserve">- </w:t>
      </w:r>
      <w:r>
        <w:rPr>
          <w:rFonts w:asciiTheme="majorBidi" w:eastAsia="Times New Roman" w:hAnsiTheme="majorBidi" w:cstheme="majorBidi"/>
          <w:sz w:val="28"/>
          <w:szCs w:val="28"/>
        </w:rPr>
        <w:t xml:space="preserve"> </w:t>
      </w:r>
      <w:r w:rsidRPr="00BA5CB9">
        <w:rPr>
          <w:rFonts w:asciiTheme="majorBidi" w:eastAsia="Times New Roman" w:hAnsiTheme="majorBidi" w:cstheme="majorBidi"/>
          <w:sz w:val="28"/>
          <w:szCs w:val="28"/>
          <w:rtl/>
        </w:rPr>
        <w:t>يحظر</w:t>
      </w:r>
      <w:proofErr w:type="gramEnd"/>
      <w:r w:rsidRPr="00BA5CB9">
        <w:rPr>
          <w:rFonts w:asciiTheme="majorBidi" w:eastAsia="Times New Roman" w:hAnsiTheme="majorBidi" w:cstheme="majorBidi"/>
          <w:sz w:val="28"/>
          <w:szCs w:val="28"/>
          <w:rtl/>
        </w:rPr>
        <w:t xml:space="preserve"> إقامة المهرجانات والتجمعات بالقرب من مراكز الاقتراع والفرز.</w:t>
      </w:r>
    </w:p>
    <w:p w14:paraId="559B9FFA" w14:textId="77777777" w:rsidR="00D52FDD" w:rsidRPr="00BA5CB9" w:rsidRDefault="00D52FDD" w:rsidP="00D52FDD">
      <w:pPr>
        <w:bidi/>
        <w:spacing w:after="0" w:line="360" w:lineRule="auto"/>
        <w:ind w:left="397" w:hanging="397"/>
        <w:jc w:val="lowKashida"/>
        <w:rPr>
          <w:rFonts w:asciiTheme="majorBidi" w:eastAsia="Times New Roman" w:hAnsiTheme="majorBidi" w:cstheme="majorBidi"/>
          <w:sz w:val="28"/>
          <w:szCs w:val="28"/>
          <w:rtl/>
        </w:rPr>
      </w:pPr>
      <w:r w:rsidRPr="00BA5CB9">
        <w:rPr>
          <w:rFonts w:asciiTheme="majorBidi" w:eastAsia="Times New Roman" w:hAnsiTheme="majorBidi" w:cstheme="majorBidi"/>
          <w:b/>
          <w:bCs/>
          <w:sz w:val="28"/>
          <w:szCs w:val="28"/>
          <w:rtl/>
        </w:rPr>
        <w:t xml:space="preserve">هـ </w:t>
      </w:r>
      <w:r w:rsidRPr="00BA5CB9">
        <w:rPr>
          <w:rFonts w:asciiTheme="majorBidi" w:eastAsia="Times New Roman" w:hAnsiTheme="majorBidi" w:cstheme="majorBidi"/>
          <w:sz w:val="28"/>
          <w:szCs w:val="28"/>
          <w:rtl/>
        </w:rPr>
        <w:t>-</w:t>
      </w:r>
      <w:r w:rsidRPr="00BA5CB9">
        <w:rPr>
          <w:rFonts w:asciiTheme="majorBidi" w:eastAsia="Times New Roman" w:hAnsiTheme="majorBidi" w:cstheme="majorBidi"/>
          <w:b/>
          <w:bCs/>
          <w:sz w:val="28"/>
          <w:szCs w:val="28"/>
          <w:rtl/>
        </w:rPr>
        <w:t xml:space="preserve"> </w:t>
      </w:r>
      <w:r w:rsidRPr="00BA5CB9">
        <w:rPr>
          <w:rFonts w:asciiTheme="majorBidi" w:eastAsia="Times New Roman" w:hAnsiTheme="majorBidi" w:cstheme="majorBidi"/>
          <w:sz w:val="28"/>
          <w:szCs w:val="28"/>
          <w:rtl/>
        </w:rPr>
        <w:t>لا يجوز استعمال شعار الدولة الرسمي في الاجتماعات والإعلانات والبيانات الانتخابية بما في ذلك الملصقات والصور والرسوم والكتابات التي تستخدم في الدعاية الانتخابية، كما يمنع استعمال مكبرات الصوت خارج القاعات وعلى وسائل النقل.</w:t>
      </w:r>
    </w:p>
    <w:p w14:paraId="4E552F3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(24)</w:t>
      </w:r>
    </w:p>
    <w:p w14:paraId="3501DC7A"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يحظر على موظفي الحكومة والهيئات والمؤسسات العامة ورؤساء المجالس البلدية وأعضائها القيام بالدعاية الانتخابية لصالح أي من المرشحين في أماكن عملهم. </w:t>
      </w:r>
    </w:p>
    <w:p w14:paraId="2373F955"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(25)</w:t>
      </w:r>
    </w:p>
    <w:p w14:paraId="3330F085"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يحظر على أي مرشح أن يقدم من خلال قيامه بالدعاية الانتخابية </w:t>
      </w:r>
      <w:proofErr w:type="gramStart"/>
      <w:r w:rsidRPr="009F6CF5">
        <w:rPr>
          <w:rFonts w:asciiTheme="majorBidi" w:hAnsiTheme="majorBidi" w:cstheme="majorBidi"/>
          <w:sz w:val="28"/>
          <w:szCs w:val="28"/>
          <w:rtl/>
        </w:rPr>
        <w:t>هدايا</w:t>
      </w:r>
      <w:proofErr w:type="gramEnd"/>
      <w:r w:rsidRPr="009F6CF5">
        <w:rPr>
          <w:rFonts w:asciiTheme="majorBidi" w:hAnsiTheme="majorBidi" w:cstheme="majorBidi"/>
          <w:sz w:val="28"/>
          <w:szCs w:val="28"/>
          <w:rtl/>
        </w:rPr>
        <w:t xml:space="preserve"> أو تبرعات أو مساعدات نقدية أو عينية أو غير ذلك من المنافع أو يعد بتقديمها لشخص طبيعي أو اعتباري سواء كان بصورة مباشرة أو بواسطة الغير كما يحظر على أي شخص أن يطلب مثل تلك الهدايا أو التبرعات أو المساعدات أو الوعد بها من أي مرشح.</w:t>
      </w:r>
    </w:p>
    <w:p w14:paraId="7787F275"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lastRenderedPageBreak/>
        <w:t>كما يحظر على المرشح تلقي أية أموال للدعاية الانتخابية من أية جهة كانت.</w:t>
      </w:r>
    </w:p>
    <w:p w14:paraId="356D7208"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(26)</w:t>
      </w:r>
    </w:p>
    <w:p w14:paraId="42BC7CBD"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على كافة وسائل الإعلام مراعاة المساواة في التعامل الإعلامي بين جميع المرشحين.</w:t>
      </w:r>
    </w:p>
    <w:p w14:paraId="540A44B6"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(27)</w:t>
      </w:r>
    </w:p>
    <w:p w14:paraId="28FAE318" w14:textId="77777777" w:rsidR="00D52FDD" w:rsidRPr="009F6CF5" w:rsidRDefault="00D52FDD" w:rsidP="00D52FDD">
      <w:pPr>
        <w:bidi/>
        <w:spacing w:after="0" w:line="360" w:lineRule="auto"/>
        <w:ind w:firstLine="282"/>
        <w:jc w:val="lowKashida"/>
        <w:rPr>
          <w:rFonts w:asciiTheme="majorBidi" w:hAnsiTheme="majorBidi" w:cstheme="majorBidi"/>
          <w:sz w:val="28"/>
          <w:szCs w:val="28"/>
        </w:rPr>
      </w:pPr>
      <w:r w:rsidRPr="009F6CF5">
        <w:rPr>
          <w:rFonts w:asciiTheme="majorBidi" w:hAnsiTheme="majorBidi" w:cstheme="majorBidi"/>
          <w:sz w:val="28"/>
          <w:szCs w:val="28"/>
          <w:rtl/>
        </w:rPr>
        <w:t>توقف جميع أعمال الدعاية الانتخابية في أنحاء المملكة قبل الموعد المحدد لعملية الاقتراع بأربع وعشرين ساعة.</w:t>
      </w:r>
    </w:p>
    <w:p w14:paraId="3BE6D58D"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الفصل الرابع</w:t>
      </w:r>
    </w:p>
    <w:p w14:paraId="219B6727"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انتهاء العضوية وخلو المحل</w:t>
      </w:r>
    </w:p>
    <w:p w14:paraId="61D11058" w14:textId="412C4E42"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(28)</w:t>
      </w:r>
      <w:r w:rsidR="00A75E47">
        <w:rPr>
          <w:rStyle w:val="FootnoteReference"/>
          <w:rFonts w:eastAsia="Times New Roman" w:cs="PT Bold Heading"/>
          <w:rtl/>
          <w:lang w:eastAsia="ar-SA"/>
        </w:rPr>
        <w:footnoteReference w:id="7"/>
      </w:r>
    </w:p>
    <w:p w14:paraId="085F6DCF" w14:textId="77777777" w:rsidR="00A75E47" w:rsidRPr="00A75E47" w:rsidRDefault="00A75E47" w:rsidP="00A75E47">
      <w:pPr>
        <w:bidi/>
        <w:spacing w:after="0" w:line="240" w:lineRule="auto"/>
        <w:jc w:val="both"/>
        <w:rPr>
          <w:rFonts w:asciiTheme="majorBidi" w:hAnsiTheme="majorBidi" w:cstheme="majorBidi"/>
          <w:rtl/>
          <w:lang w:val="en-GB"/>
        </w:rPr>
      </w:pPr>
      <w:r w:rsidRPr="00A75E47">
        <w:rPr>
          <w:rFonts w:asciiTheme="majorBidi" w:hAnsiTheme="majorBidi" w:cstheme="majorBidi"/>
          <w:sz w:val="28"/>
          <w:szCs w:val="28"/>
          <w:rtl/>
          <w:lang w:val="en-GB" w:bidi="ar-BH"/>
        </w:rPr>
        <w:t>تسقط العضوية عن عضو مجلس النواب إذا فقد الثقة أو الاعتبار أو أخل بواجبات العضوية.</w:t>
      </w:r>
    </w:p>
    <w:p w14:paraId="50045ABE" w14:textId="77777777" w:rsidR="00A75E47" w:rsidRPr="00A75E47" w:rsidRDefault="00A75E47" w:rsidP="00A75E47">
      <w:pPr>
        <w:bidi/>
        <w:spacing w:after="0" w:line="240" w:lineRule="auto"/>
        <w:jc w:val="both"/>
        <w:rPr>
          <w:rFonts w:asciiTheme="majorBidi" w:hAnsiTheme="majorBidi" w:cstheme="majorBidi"/>
          <w:rtl/>
          <w:lang w:val="en-GB"/>
        </w:rPr>
      </w:pPr>
      <w:r w:rsidRPr="00A75E47">
        <w:rPr>
          <w:rFonts w:asciiTheme="majorBidi" w:hAnsiTheme="majorBidi" w:cstheme="majorBidi"/>
          <w:sz w:val="28"/>
          <w:szCs w:val="28"/>
          <w:rtl/>
          <w:lang w:val="en-GB" w:bidi="ar-BH"/>
        </w:rPr>
        <w:t>ويجب أن يصدر قرار إسقاط العضوية بأغلبية ثلثي أعضاء المجلس، ويكون التصويت في هذه الحالة بالمناداة على الأعضاء بأسمائهم.</w:t>
      </w:r>
    </w:p>
    <w:p w14:paraId="6389A971" w14:textId="33363216" w:rsidR="00A75E47" w:rsidRPr="00A75E47" w:rsidRDefault="00A75E47" w:rsidP="00A75E47">
      <w:pPr>
        <w:pStyle w:val="Heading2"/>
        <w:spacing w:line="240" w:lineRule="auto"/>
        <w:jc w:val="both"/>
        <w:rPr>
          <w:rFonts w:asciiTheme="majorBidi" w:hAnsiTheme="majorBidi" w:cstheme="majorBidi"/>
          <w:b w:val="0"/>
          <w:bCs w:val="0"/>
          <w:rtl/>
          <w:lang w:val="en-GB" w:bidi="ar-BH"/>
        </w:rPr>
      </w:pPr>
      <w:r w:rsidRPr="00A75E47">
        <w:rPr>
          <w:rFonts w:asciiTheme="majorBidi" w:hAnsiTheme="majorBidi" w:cstheme="majorBidi"/>
          <w:b w:val="0"/>
          <w:bCs w:val="0"/>
          <w:rtl/>
          <w:lang w:val="en-GB" w:bidi="ar-BH"/>
        </w:rPr>
        <w:t>وتبطل العضوية إذا تبين أن العضو كان فاقداً لشرط من شروطها عند الانتخاب أو أثناء عضويته بالمجلس. وللجهات الرسمية - في أي وقت - أن تطلب من محكمة التمييز الحكم بإبطال العضوية في هذه الحالات. ويترتب على حكم المحكمة بإبطال العضوية إسقاط العضوية عن العضو من تاريخ صدوره، ولا أثر له على ما قام به العضو من أعمال داخل المجلس في الفترة السابقة أو ما حصل عليه من حقوق</w:t>
      </w:r>
      <w:r w:rsidRPr="00A75E47">
        <w:rPr>
          <w:rFonts w:asciiTheme="majorBidi" w:hAnsiTheme="majorBidi" w:cstheme="majorBidi"/>
          <w:b w:val="0"/>
          <w:bCs w:val="0"/>
          <w:rtl/>
          <w:lang w:val="en-GB" w:bidi="ar-BH"/>
        </w:rPr>
        <w:t>.</w:t>
      </w:r>
    </w:p>
    <w:p w14:paraId="71316A5E" w14:textId="2D0CEA6A" w:rsidR="00D52FDD" w:rsidRPr="004D7831" w:rsidRDefault="00D52FDD" w:rsidP="00A75E47">
      <w:pPr>
        <w:pStyle w:val="Heading2"/>
        <w:spacing w:line="240" w:lineRule="auto"/>
        <w:rPr>
          <w:rFonts w:eastAsia="Times New Roman" w:cs="PT Bold Heading"/>
          <w:rtl/>
          <w:lang w:eastAsia="ar-SA"/>
        </w:rPr>
      </w:pPr>
      <w:r w:rsidRPr="004D7831">
        <w:rPr>
          <w:rFonts w:eastAsia="Times New Roman" w:cs="PT Bold Heading"/>
          <w:rtl/>
          <w:lang w:eastAsia="ar-SA"/>
        </w:rPr>
        <w:t>مادة (29)</w:t>
      </w:r>
    </w:p>
    <w:p w14:paraId="0FCA9DF9"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 xml:space="preserve">يجوز لأي عضو من أعضاء مجلس النواب أن يستقيل بكتاب يقدمه إلى رئيس مجلس النواب، وتعتبر الاستقالة نهائية من تاريخ صدور قرار المجلس بقبولها، ويصبح مقعد النائب شاغراً من تاريخ ذلك القبول. ويجوز للعضو أن يعدل عن استقالته قبل صدور قرار المجلس. </w:t>
      </w:r>
    </w:p>
    <w:p w14:paraId="6B1B1CD1"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lastRenderedPageBreak/>
        <w:t>مادة (30)</w:t>
      </w:r>
    </w:p>
    <w:p w14:paraId="0A2D6315" w14:textId="77777777" w:rsidR="00D52FDD" w:rsidRPr="009F6CF5" w:rsidRDefault="00D52FDD" w:rsidP="00D52FDD">
      <w:pPr>
        <w:bidi/>
        <w:spacing w:after="0" w:line="360" w:lineRule="auto"/>
        <w:ind w:firstLine="282"/>
        <w:jc w:val="lowKashida"/>
        <w:rPr>
          <w:rFonts w:asciiTheme="majorBidi" w:hAnsiTheme="majorBidi" w:cstheme="majorBidi"/>
          <w:sz w:val="28"/>
          <w:szCs w:val="28"/>
          <w:rtl/>
        </w:rPr>
      </w:pPr>
      <w:r w:rsidRPr="009F6CF5">
        <w:rPr>
          <w:rFonts w:asciiTheme="majorBidi" w:hAnsiTheme="majorBidi" w:cstheme="majorBidi"/>
          <w:sz w:val="28"/>
          <w:szCs w:val="28"/>
          <w:rtl/>
        </w:rPr>
        <w:t>إذا خلا محل أحد أعضاء مجلس النواب قبل انتهاء مدة عضويته، لأي سبب من الأسباب، يجرى انتخاب تكميلي لانتخاب من يحل محله خلال شهرين من تاريخ إعلان المجلس هذا الخلو.</w:t>
      </w:r>
    </w:p>
    <w:p w14:paraId="0A3ED880" w14:textId="77777777" w:rsidR="00D52FDD" w:rsidRPr="00DA72D1" w:rsidRDefault="00D52FDD" w:rsidP="00D52FDD">
      <w:pPr>
        <w:bidi/>
        <w:spacing w:after="0" w:line="360" w:lineRule="auto"/>
        <w:ind w:firstLine="282"/>
        <w:jc w:val="lowKashida"/>
        <w:rPr>
          <w:rFonts w:asciiTheme="majorBidi" w:hAnsiTheme="majorBidi" w:cstheme="majorBidi"/>
          <w:sz w:val="27"/>
          <w:szCs w:val="27"/>
          <w:rtl/>
        </w:rPr>
      </w:pPr>
      <w:r w:rsidRPr="00DA72D1">
        <w:rPr>
          <w:rFonts w:asciiTheme="majorBidi" w:hAnsiTheme="majorBidi" w:cstheme="majorBidi"/>
          <w:sz w:val="27"/>
          <w:szCs w:val="27"/>
          <w:rtl/>
        </w:rPr>
        <w:t xml:space="preserve">وتكون مدة العضو الجديد لنهاية مدة سلفه. </w:t>
      </w:r>
    </w:p>
    <w:p w14:paraId="28045EFF" w14:textId="77777777" w:rsidR="00D52FDD" w:rsidRPr="00DA72D1" w:rsidRDefault="00D52FDD" w:rsidP="00D52FDD">
      <w:pPr>
        <w:bidi/>
        <w:spacing w:after="0" w:line="360" w:lineRule="auto"/>
        <w:ind w:firstLine="282"/>
        <w:jc w:val="lowKashida"/>
        <w:rPr>
          <w:rFonts w:asciiTheme="majorBidi" w:hAnsiTheme="majorBidi" w:cstheme="majorBidi"/>
          <w:sz w:val="27"/>
          <w:szCs w:val="27"/>
          <w:rtl/>
        </w:rPr>
      </w:pPr>
      <w:r w:rsidRPr="00DA72D1">
        <w:rPr>
          <w:rFonts w:asciiTheme="majorBidi" w:hAnsiTheme="majorBidi" w:cstheme="majorBidi"/>
          <w:sz w:val="27"/>
          <w:szCs w:val="27"/>
          <w:rtl/>
        </w:rPr>
        <w:t xml:space="preserve">وإذا وقع الخلو خلال الأشهر الستة السابقة على انتهاء الفصل التشريعي للمجلس فلا يجرى انتخاب عضو بديل. </w:t>
      </w:r>
    </w:p>
    <w:p w14:paraId="4ABD34D4" w14:textId="77777777" w:rsidR="00D52FDD" w:rsidRPr="00DA72D1" w:rsidRDefault="00D52FDD" w:rsidP="00D52FDD">
      <w:pPr>
        <w:pStyle w:val="Heading2"/>
        <w:spacing w:line="240" w:lineRule="auto"/>
        <w:rPr>
          <w:rFonts w:eastAsia="Times New Roman" w:cs="PT Bold Heading"/>
          <w:sz w:val="27"/>
          <w:szCs w:val="27"/>
          <w:rtl/>
          <w:lang w:eastAsia="ar-SA"/>
        </w:rPr>
      </w:pPr>
      <w:r w:rsidRPr="00DA72D1">
        <w:rPr>
          <w:rFonts w:eastAsia="Times New Roman" w:cs="PT Bold Heading"/>
          <w:sz w:val="27"/>
          <w:szCs w:val="27"/>
          <w:rtl/>
          <w:lang w:eastAsia="ar-SA"/>
        </w:rPr>
        <w:t>الفصل الخامس</w:t>
      </w:r>
    </w:p>
    <w:p w14:paraId="57A07AD6" w14:textId="77777777" w:rsidR="00D52FDD" w:rsidRPr="00DA72D1" w:rsidRDefault="00D52FDD" w:rsidP="00D52FDD">
      <w:pPr>
        <w:pStyle w:val="Heading2"/>
        <w:spacing w:line="240" w:lineRule="auto"/>
        <w:rPr>
          <w:rFonts w:eastAsia="Times New Roman" w:cs="PT Bold Heading"/>
          <w:sz w:val="27"/>
          <w:szCs w:val="27"/>
          <w:rtl/>
          <w:lang w:eastAsia="ar-SA"/>
        </w:rPr>
      </w:pPr>
      <w:r w:rsidRPr="00DA72D1">
        <w:rPr>
          <w:rFonts w:eastAsia="Times New Roman" w:cs="PT Bold Heading"/>
          <w:sz w:val="27"/>
          <w:szCs w:val="27"/>
          <w:rtl/>
          <w:lang w:eastAsia="ar-SA"/>
        </w:rPr>
        <w:t>عقوبات</w:t>
      </w:r>
    </w:p>
    <w:p w14:paraId="42954B12" w14:textId="77777777" w:rsidR="00D52FDD" w:rsidRPr="00DA72D1" w:rsidRDefault="00D52FDD" w:rsidP="00D52FDD">
      <w:pPr>
        <w:pStyle w:val="Heading2"/>
        <w:spacing w:line="240" w:lineRule="auto"/>
        <w:rPr>
          <w:rFonts w:eastAsia="Times New Roman" w:cs="PT Bold Heading"/>
          <w:sz w:val="27"/>
          <w:szCs w:val="27"/>
          <w:rtl/>
          <w:lang w:eastAsia="ar-SA"/>
        </w:rPr>
      </w:pPr>
      <w:r w:rsidRPr="00DA72D1">
        <w:rPr>
          <w:rFonts w:eastAsia="Times New Roman" w:cs="PT Bold Heading"/>
          <w:sz w:val="27"/>
          <w:szCs w:val="27"/>
          <w:rtl/>
          <w:lang w:eastAsia="ar-SA"/>
        </w:rPr>
        <w:t>المادة (31)</w:t>
      </w:r>
      <w:r w:rsidRPr="00DA72D1">
        <w:rPr>
          <w:rFonts w:cs="PT Bold Heading"/>
          <w:sz w:val="27"/>
          <w:szCs w:val="27"/>
          <w:vertAlign w:val="superscript"/>
          <w:rtl/>
          <w:lang w:eastAsia="ar-SA"/>
        </w:rPr>
        <w:footnoteReference w:id="8"/>
      </w:r>
    </w:p>
    <w:p w14:paraId="746DB785" w14:textId="77777777" w:rsidR="00D52FDD" w:rsidRPr="00DA72D1" w:rsidRDefault="00D52FDD" w:rsidP="00D52FDD">
      <w:pPr>
        <w:bidi/>
        <w:spacing w:after="0" w:line="360" w:lineRule="auto"/>
        <w:ind w:firstLine="282"/>
        <w:jc w:val="lowKashida"/>
        <w:rPr>
          <w:rFonts w:asciiTheme="majorBidi" w:hAnsiTheme="majorBidi" w:cstheme="majorBidi"/>
          <w:sz w:val="27"/>
          <w:szCs w:val="27"/>
          <w:rtl/>
        </w:rPr>
      </w:pPr>
      <w:r w:rsidRPr="00DA72D1">
        <w:rPr>
          <w:rFonts w:asciiTheme="majorBidi" w:hAnsiTheme="majorBidi" w:cstheme="majorBidi"/>
          <w:sz w:val="27"/>
          <w:szCs w:val="27"/>
          <w:rtl/>
        </w:rPr>
        <w:t>مع عدم الإخلال بأية عقوبة أشد ينص عليها قانون العقوبات أو أيِّ قانون آخر، يعاقَب بالحبس مدة لا تقل عن ثلاثة أشهر ولا تزيد على سنة وبغرامة لا تقل عن ثلاثمائة دينار ولا تجاوِز ألف دينار أو بإحدى هاتين العقوبتين، كل مَن خالف أيَّ حكمٍ من الأحكام المنصوص عليها في المواد (22)، (23)، (25)، (26)، (27) من هذا القانون.</w:t>
      </w:r>
    </w:p>
    <w:p w14:paraId="30265C2F" w14:textId="77777777" w:rsidR="00D52FDD" w:rsidRPr="00DA72D1" w:rsidRDefault="00D52FDD" w:rsidP="00D52FDD">
      <w:pPr>
        <w:bidi/>
        <w:spacing w:after="0" w:line="360" w:lineRule="auto"/>
        <w:ind w:firstLine="282"/>
        <w:jc w:val="lowKashida"/>
        <w:rPr>
          <w:rFonts w:asciiTheme="majorBidi" w:hAnsiTheme="majorBidi" w:cstheme="majorBidi"/>
          <w:sz w:val="27"/>
          <w:szCs w:val="27"/>
          <w:rtl/>
        </w:rPr>
      </w:pPr>
      <w:r w:rsidRPr="00DA72D1">
        <w:rPr>
          <w:rFonts w:asciiTheme="majorBidi" w:hAnsiTheme="majorBidi" w:cstheme="majorBidi"/>
          <w:sz w:val="27"/>
          <w:szCs w:val="27"/>
          <w:rtl/>
        </w:rPr>
        <w:t>ومع عدم الإخلال بالمسئولية الجنائية للشخص الطبيعي، يعاقَب الشخص الاعتباري الخاص بغرامة تعادل ضِعف الغرامة المقرَّرة للجريمة إذا اُرتُكِبت أية جريمة من الجرائم المنصوص عليها في المواد المشار إليها في الفقرة السابقة باسمه أو لحسابه، أو من أحد ممثليه.</w:t>
      </w:r>
    </w:p>
    <w:p w14:paraId="4AAB3C15" w14:textId="77777777" w:rsidR="00D52FDD" w:rsidRPr="00DA72D1" w:rsidRDefault="00D52FDD" w:rsidP="00D52FDD">
      <w:pPr>
        <w:bidi/>
        <w:spacing w:after="0" w:line="360" w:lineRule="auto"/>
        <w:ind w:firstLine="282"/>
        <w:jc w:val="lowKashida"/>
        <w:rPr>
          <w:rFonts w:asciiTheme="majorBidi" w:hAnsiTheme="majorBidi" w:cstheme="majorBidi"/>
          <w:sz w:val="27"/>
          <w:szCs w:val="27"/>
          <w:rtl/>
        </w:rPr>
      </w:pPr>
      <w:r w:rsidRPr="00DA72D1">
        <w:rPr>
          <w:rFonts w:asciiTheme="majorBidi" w:hAnsiTheme="majorBidi" w:cstheme="majorBidi"/>
          <w:sz w:val="27"/>
          <w:szCs w:val="27"/>
          <w:rtl/>
        </w:rPr>
        <w:t>ويعاقَب بالحبس مدة لا تقل عن ستة أشهر ولا تزيد على سنتين وبغرامة لا تقل عن خمسمائة دينار ولا تزيد على ثلاثة آلاف دينار أو بإحدى هاتين العقوبتين، كل مَن خالف حكماً من الأحكام المنصوص عليها في المادة (24) من هذا القانون.</w:t>
      </w:r>
    </w:p>
    <w:p w14:paraId="262CD6A2" w14:textId="77777777" w:rsidR="00D52FDD" w:rsidRPr="00DA72D1" w:rsidRDefault="00D52FDD" w:rsidP="00D52FDD">
      <w:pPr>
        <w:pStyle w:val="Heading2"/>
        <w:spacing w:line="240" w:lineRule="auto"/>
        <w:rPr>
          <w:rFonts w:eastAsia="Times New Roman" w:cs="PT Bold Heading"/>
          <w:sz w:val="27"/>
          <w:szCs w:val="27"/>
          <w:rtl/>
          <w:lang w:eastAsia="ar-SA"/>
        </w:rPr>
      </w:pPr>
      <w:r w:rsidRPr="00DA72D1">
        <w:rPr>
          <w:rFonts w:eastAsia="Times New Roman" w:cs="PT Bold Heading"/>
          <w:sz w:val="27"/>
          <w:szCs w:val="27"/>
          <w:rtl/>
          <w:lang w:eastAsia="ar-SA"/>
        </w:rPr>
        <w:lastRenderedPageBreak/>
        <w:t>المادة (32)</w:t>
      </w:r>
    </w:p>
    <w:p w14:paraId="2132D900" w14:textId="77777777" w:rsidR="00D52FDD" w:rsidRPr="00DA72D1" w:rsidRDefault="00D52FDD" w:rsidP="00D52FDD">
      <w:pPr>
        <w:bidi/>
        <w:spacing w:after="0" w:line="360" w:lineRule="auto"/>
        <w:ind w:firstLine="282"/>
        <w:jc w:val="lowKashida"/>
        <w:rPr>
          <w:rFonts w:asciiTheme="majorBidi" w:hAnsiTheme="majorBidi" w:cstheme="majorBidi"/>
          <w:sz w:val="27"/>
          <w:szCs w:val="27"/>
        </w:rPr>
      </w:pPr>
      <w:r w:rsidRPr="00DA72D1">
        <w:rPr>
          <w:rFonts w:asciiTheme="majorBidi" w:hAnsiTheme="majorBidi" w:cstheme="majorBidi"/>
          <w:sz w:val="27"/>
          <w:szCs w:val="27"/>
          <w:rtl/>
        </w:rPr>
        <w:t>لا يجوز الحكم بوقف تنفيذ عقوبة الغرامة المنصوص عليها في المادة السابقة.</w:t>
      </w:r>
    </w:p>
    <w:p w14:paraId="36BB87CD" w14:textId="77777777" w:rsidR="00D52FDD" w:rsidRPr="00DA72D1" w:rsidRDefault="00D52FDD" w:rsidP="00D52FDD">
      <w:pPr>
        <w:pStyle w:val="Heading2"/>
        <w:spacing w:line="240" w:lineRule="auto"/>
        <w:rPr>
          <w:rFonts w:eastAsia="Times New Roman" w:cs="PT Bold Heading"/>
          <w:sz w:val="27"/>
          <w:szCs w:val="27"/>
          <w:rtl/>
          <w:lang w:eastAsia="ar-SA"/>
        </w:rPr>
      </w:pPr>
      <w:r w:rsidRPr="00DA72D1">
        <w:rPr>
          <w:rFonts w:eastAsia="Times New Roman" w:cs="PT Bold Heading"/>
          <w:sz w:val="27"/>
          <w:szCs w:val="27"/>
          <w:rtl/>
          <w:lang w:eastAsia="ar-SA"/>
        </w:rPr>
        <w:t>المادة (33)</w:t>
      </w:r>
    </w:p>
    <w:p w14:paraId="5355A328" w14:textId="77777777" w:rsidR="00D52FDD" w:rsidRPr="00DA72D1" w:rsidRDefault="00D52FDD" w:rsidP="00D52FDD">
      <w:pPr>
        <w:bidi/>
        <w:spacing w:after="0" w:line="360" w:lineRule="auto"/>
        <w:ind w:firstLine="282"/>
        <w:jc w:val="lowKashida"/>
        <w:rPr>
          <w:rFonts w:asciiTheme="majorBidi" w:hAnsiTheme="majorBidi" w:cstheme="majorBidi"/>
          <w:sz w:val="27"/>
          <w:szCs w:val="27"/>
          <w:rtl/>
        </w:rPr>
      </w:pPr>
      <w:r w:rsidRPr="00DA72D1">
        <w:rPr>
          <w:rFonts w:asciiTheme="majorBidi" w:hAnsiTheme="majorBidi" w:cstheme="majorBidi"/>
          <w:sz w:val="27"/>
          <w:szCs w:val="27"/>
          <w:rtl/>
        </w:rPr>
        <w:t>تنقضي الدعوى الجنائية ولا تسمع الدعوى المدنية في الجرائم المنصوص عليها في هذا القانون بمضي ستة أشهر من تاريخ إعلان نتيجة الانتخاب، أو من تاريخ آخر إجراء قضائي في شأنها.</w:t>
      </w:r>
    </w:p>
    <w:p w14:paraId="17610DA6"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الباب الثالث</w:t>
      </w:r>
    </w:p>
    <w:p w14:paraId="0155642A"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أحكام مشتركة للمجلسين</w:t>
      </w:r>
    </w:p>
    <w:p w14:paraId="43F03DFA"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المادة (34)</w:t>
      </w:r>
    </w:p>
    <w:p w14:paraId="72868BCA"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لا يجوز الجمع بين عضوية مجلس الشورى وعضوية مجلس النواب. كما لا يجوز الجمع بين عضوية أي من المجلسين وعضوية المجالس البلدية أو تولي الوظائف العامة.</w:t>
      </w:r>
    </w:p>
    <w:p w14:paraId="2EADC63C"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المادة (35)</w:t>
      </w:r>
    </w:p>
    <w:p w14:paraId="5B9ABD64"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يعتبر من يعين في مجلس الشورى أو من ينتخب لعضوية مجلس النواب متخلياً عن عضويته الأخرى أو وظيفته بمجرد توليه عمله في المجلس.</w:t>
      </w:r>
    </w:p>
    <w:p w14:paraId="5A609E1C"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المادة (36)</w:t>
      </w:r>
    </w:p>
    <w:p w14:paraId="479E90E2"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يعتبر مستقيلاً من عضوية مجلس الشورى أو مجلس النواب العضو الذي يقبل وظيفة أو عملاً لا يجوز الجمع بينه وبين عضوية أحد المجلسين، ويصبح محله شاغراً بقرار من المجلس المختص، على أنه بالنسبة إلى عضو مجلس الشورى لا يعتبر المحل شاغراً إلا إذا صدر أمر ملكي بذلك.</w:t>
      </w:r>
    </w:p>
    <w:p w14:paraId="2928F97B"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(37)</w:t>
      </w:r>
    </w:p>
    <w:p w14:paraId="23F7B32F"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لا يجوز لعضو مجلس الشورى أو مجلس النواب أثناء مدة عضويته أن يعين في مجلس إدارة شركة أو أن يسهم في التزامات تعقدها الحكومة أو المؤسسات العامة إلا في الأحوال التي يبينها القانون.</w:t>
      </w:r>
    </w:p>
    <w:p w14:paraId="70A1E132"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lastRenderedPageBreak/>
        <w:t xml:space="preserve">ولا يجوز له خلال تلك المدة أن يشتري أو يستأجر مالاً من أموال الدولة أو أن يؤجرها أو يبيعها شيئاً من أمواله أو يقايضها عليه، ما لم يكن ذلك بطريق المزايدة أو المناقصة العلنيتين، أو بالتطبيق لنظام الاستملاك للمنفعة العامة. </w:t>
      </w:r>
    </w:p>
    <w:p w14:paraId="0D49342D"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(38)</w:t>
      </w:r>
    </w:p>
    <w:p w14:paraId="4C63634F"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يمتنع على كل من رئيس مجلس الشورى ورئيس مجلس النواب، بمجرد اختياره رئيساً، مزاولة مهنة تجارية أو غير تجارية. </w:t>
      </w:r>
    </w:p>
    <w:p w14:paraId="1BE5BA0C"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(39)</w:t>
      </w:r>
    </w:p>
    <w:p w14:paraId="571F2ADC"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لا يمنح أعضاء مجلس الشورى وأعضاء مجلس النواب أوسمة أثناء مدة عضويتهم. </w:t>
      </w:r>
    </w:p>
    <w:p w14:paraId="61BC2538"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(40)</w:t>
      </w:r>
    </w:p>
    <w:p w14:paraId="09ECB362"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يتقاضى عضو مجلس الشورى وعضو مجلس النواب مكافأة شهرية مقدارها ألفا دينار. وتستحق المكافأة اعتباراً من تاريخ اكتساب العضوية. </w:t>
      </w:r>
    </w:p>
    <w:p w14:paraId="58AA6881"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(41)</w:t>
      </w:r>
    </w:p>
    <w:p w14:paraId="1C77F5A8"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يتقاضى كل من رئيس مجلس الشورى ورئيس مجلس النواب مكافأة شهرية تعادل راتب الوزير. وتستحق المكافأة من تاريخ اختياره رئيساً. </w:t>
      </w:r>
    </w:p>
    <w:p w14:paraId="4117EAE0"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(42)</w:t>
      </w:r>
    </w:p>
    <w:p w14:paraId="4D9A59BB"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يتقاضى كل من نائبي رئيس مجلس الشورى ونائبي رئيس مجلس النواب مكافأة شهرية مقدارها ألفان وخمسمائة دينار. وتستحق المكافأة من تاريخ انتخابه نائباً للرئيس.</w:t>
      </w:r>
    </w:p>
    <w:p w14:paraId="35714A47"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 xml:space="preserve">مادة (42) </w:t>
      </w:r>
      <w:r w:rsidRPr="004D7831">
        <w:rPr>
          <w:rFonts w:eastAsia="Times New Roman" w:cs="PT Bold Heading"/>
          <w:vertAlign w:val="superscript"/>
          <w:rtl/>
          <w:lang w:eastAsia="ar-SA"/>
        </w:rPr>
        <w:t>(</w:t>
      </w:r>
      <w:r w:rsidRPr="004D7831">
        <w:rPr>
          <w:rFonts w:eastAsia="Times New Roman" w:cs="PT Bold Heading"/>
          <w:vertAlign w:val="superscript"/>
          <w:rtl/>
          <w:lang w:eastAsia="ar-SA"/>
        </w:rPr>
        <w:footnoteReference w:id="9"/>
      </w:r>
      <w:r w:rsidRPr="004D7831">
        <w:rPr>
          <w:rFonts w:eastAsia="Times New Roman" w:cs="PT Bold Heading"/>
          <w:vertAlign w:val="superscript"/>
          <w:rtl/>
          <w:lang w:eastAsia="ar-SA"/>
        </w:rPr>
        <w:t xml:space="preserve">) </w:t>
      </w:r>
      <w:r w:rsidRPr="004D7831">
        <w:rPr>
          <w:rFonts w:eastAsia="Times New Roman" w:cs="PT Bold Heading"/>
          <w:rtl/>
          <w:lang w:eastAsia="ar-SA"/>
        </w:rPr>
        <w:t>مكرر</w:t>
      </w:r>
    </w:p>
    <w:p w14:paraId="563B5C7C"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يصدر بمرسوم لائحة موحدة بمخصصات كل من رئيسي مجلسي الشورى والنواب، ونائبي كل من رئيس وأعضاء المجلسين تدرج اعتماداتها رقماً واحداً ضمن ميزانية كل </w:t>
      </w:r>
      <w:r w:rsidRPr="000774BD">
        <w:rPr>
          <w:rFonts w:asciiTheme="majorBidi" w:hAnsiTheme="majorBidi" w:cstheme="majorBidi"/>
          <w:sz w:val="28"/>
          <w:szCs w:val="28"/>
          <w:rtl/>
        </w:rPr>
        <w:lastRenderedPageBreak/>
        <w:t>مجلس، وتحدد اللائحة مسمى ومقدار هذه المخصصات ونظام وشروط ومواعيد صرفها، وما يعتبر من تلك المخصصات جزءاً أساسياً من المكافأة الشهرية.</w:t>
      </w:r>
    </w:p>
    <w:p w14:paraId="3E57E0F5"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(43)</w:t>
      </w:r>
    </w:p>
    <w:p w14:paraId="4C5DDDA9"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يستقل كل من مجلس الشورى ومجلس النواب بموازنته، وتدرج الاعتمادات المخصصة له رقماً واحداً في ميزانية الدولة. </w:t>
      </w:r>
    </w:p>
    <w:p w14:paraId="480D813F" w14:textId="77777777" w:rsidR="00D52FDD" w:rsidRPr="000774BD" w:rsidRDefault="00D52FDD" w:rsidP="00D52FDD">
      <w:pPr>
        <w:bidi/>
        <w:spacing w:after="0" w:line="360" w:lineRule="auto"/>
        <w:ind w:firstLine="282"/>
        <w:jc w:val="lowKashida"/>
        <w:rPr>
          <w:rFonts w:asciiTheme="majorBidi" w:hAnsiTheme="majorBidi" w:cstheme="majorBidi"/>
          <w:sz w:val="28"/>
          <w:szCs w:val="28"/>
          <w:rtl/>
        </w:rPr>
      </w:pPr>
      <w:r w:rsidRPr="000774BD">
        <w:rPr>
          <w:rFonts w:asciiTheme="majorBidi" w:hAnsiTheme="majorBidi" w:cstheme="majorBidi"/>
          <w:sz w:val="28"/>
          <w:szCs w:val="28"/>
          <w:rtl/>
        </w:rPr>
        <w:t xml:space="preserve">وتبين اللائحة الداخلية لكل من المجلسين كيفية إعداد مشروع موازنة المجلس السنوية وبحثه وإقراره، وطريقة إعداد حسابات المجلس وتنظيمها، وكيفية إعداد الحساب الختامي السنوي واعتماده، وذلك دون التقيد بالقواعد الحكومية. </w:t>
      </w:r>
    </w:p>
    <w:p w14:paraId="49243A75"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(44)</w:t>
      </w:r>
    </w:p>
    <w:p w14:paraId="0DE37BEA" w14:textId="77777777" w:rsidR="00D52FDD" w:rsidRPr="00C97F42" w:rsidRDefault="00D52FDD" w:rsidP="00D52FDD">
      <w:pPr>
        <w:bidi/>
        <w:spacing w:after="0" w:line="360" w:lineRule="auto"/>
        <w:ind w:firstLine="282"/>
        <w:jc w:val="lowKashida"/>
        <w:rPr>
          <w:rFonts w:asciiTheme="majorBidi" w:hAnsiTheme="majorBidi" w:cstheme="majorBidi"/>
          <w:sz w:val="27"/>
          <w:szCs w:val="27"/>
          <w:rtl/>
        </w:rPr>
      </w:pPr>
      <w:r w:rsidRPr="00C97F42">
        <w:rPr>
          <w:rFonts w:asciiTheme="majorBidi" w:hAnsiTheme="majorBidi" w:cstheme="majorBidi"/>
          <w:sz w:val="27"/>
          <w:szCs w:val="27"/>
          <w:rtl/>
        </w:rPr>
        <w:t xml:space="preserve">يضع كل من مجلس الشورى ومجلس النواب لائحة تنظم شئون العاملين به، وتسري عليهم، فيما لم يرد فيه نص خاص في اللائحة، الأحكام المنصوص عليها في أنظمة الخدمة المدنية. </w:t>
      </w:r>
    </w:p>
    <w:p w14:paraId="6B157894" w14:textId="77777777" w:rsidR="00D52FDD" w:rsidRPr="00C97F42" w:rsidRDefault="00D52FDD" w:rsidP="00D52FDD">
      <w:pPr>
        <w:bidi/>
        <w:spacing w:after="0" w:line="360" w:lineRule="auto"/>
        <w:ind w:firstLine="282"/>
        <w:jc w:val="lowKashida"/>
        <w:rPr>
          <w:rFonts w:asciiTheme="majorBidi" w:hAnsiTheme="majorBidi" w:cstheme="majorBidi"/>
          <w:sz w:val="27"/>
          <w:szCs w:val="27"/>
          <w:rtl/>
        </w:rPr>
      </w:pPr>
      <w:r w:rsidRPr="00C97F42">
        <w:rPr>
          <w:rFonts w:asciiTheme="majorBidi" w:hAnsiTheme="majorBidi" w:cstheme="majorBidi"/>
          <w:sz w:val="27"/>
          <w:szCs w:val="27"/>
          <w:rtl/>
        </w:rPr>
        <w:t xml:space="preserve">وإلى أن يتم وضع اللائحة المشار إليها في الفقرة السابقة، تطبق على العاملين بكل من المجلسين الأحكام المنصوص عليها في أنظمة الخدمة المدنية. </w:t>
      </w:r>
    </w:p>
    <w:p w14:paraId="31BFA4ED"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(45)</w:t>
      </w:r>
    </w:p>
    <w:p w14:paraId="2026E5F3" w14:textId="77777777" w:rsidR="00D52FDD" w:rsidRPr="00C97F42" w:rsidRDefault="00D52FDD" w:rsidP="00D52FDD">
      <w:pPr>
        <w:bidi/>
        <w:spacing w:after="0" w:line="360" w:lineRule="auto"/>
        <w:ind w:firstLine="282"/>
        <w:jc w:val="lowKashida"/>
        <w:rPr>
          <w:rFonts w:asciiTheme="majorBidi" w:hAnsiTheme="majorBidi" w:cstheme="majorBidi"/>
          <w:sz w:val="27"/>
          <w:szCs w:val="27"/>
          <w:rtl/>
        </w:rPr>
      </w:pPr>
      <w:r w:rsidRPr="00C97F42">
        <w:rPr>
          <w:rFonts w:asciiTheme="majorBidi" w:hAnsiTheme="majorBidi" w:cstheme="majorBidi"/>
          <w:sz w:val="27"/>
          <w:szCs w:val="27"/>
          <w:rtl/>
        </w:rPr>
        <w:t xml:space="preserve">تقتصر رقابة كل من مجلسي الشورى والنواب، فيما يتعلق بأعمال أعضاء السلطة التنفيذية وتصرفاتهم، على ما يتم منها بعد تاريخ انعقاد المجلسين في أول فصل تشريعي، ولا يجوز لهما التعرض لما تم من أفعال أو تصرفات سابقة على هذا التاريخ. </w:t>
      </w:r>
    </w:p>
    <w:p w14:paraId="0F506A8E" w14:textId="77777777" w:rsidR="00D52FDD" w:rsidRPr="004D7831" w:rsidRDefault="00D52FDD" w:rsidP="00D52FDD">
      <w:pPr>
        <w:pStyle w:val="Heading2"/>
        <w:spacing w:line="240" w:lineRule="auto"/>
        <w:rPr>
          <w:rFonts w:eastAsia="Times New Roman" w:cs="PT Bold Heading"/>
          <w:rtl/>
          <w:lang w:eastAsia="ar-SA"/>
        </w:rPr>
      </w:pPr>
      <w:r w:rsidRPr="004D7831">
        <w:rPr>
          <w:rFonts w:eastAsia="Times New Roman" w:cs="PT Bold Heading"/>
          <w:rtl/>
          <w:lang w:eastAsia="ar-SA"/>
        </w:rPr>
        <w:t>مادة (46)</w:t>
      </w:r>
    </w:p>
    <w:p w14:paraId="1B1483CF" w14:textId="77777777" w:rsidR="00D52FDD" w:rsidRPr="00C97F42" w:rsidRDefault="00D52FDD" w:rsidP="00D52FDD">
      <w:pPr>
        <w:bidi/>
        <w:spacing w:after="0" w:line="360" w:lineRule="auto"/>
        <w:ind w:firstLine="282"/>
        <w:jc w:val="lowKashida"/>
        <w:rPr>
          <w:rFonts w:asciiTheme="majorBidi" w:hAnsiTheme="majorBidi" w:cstheme="majorBidi"/>
          <w:sz w:val="27"/>
          <w:szCs w:val="27"/>
          <w:rtl/>
        </w:rPr>
      </w:pPr>
      <w:r w:rsidRPr="00C97F42">
        <w:rPr>
          <w:rFonts w:asciiTheme="majorBidi" w:hAnsiTheme="majorBidi" w:cstheme="majorBidi"/>
          <w:sz w:val="27"/>
          <w:szCs w:val="27"/>
          <w:rtl/>
        </w:rPr>
        <w:t xml:space="preserve">يتولى رئيس مجلس الشورى أثناء فترة حل مجلس النواب جميع الاختصاصات الإدارية والمالية المخولة لمكتب المجلس ورئيسه. </w:t>
      </w:r>
    </w:p>
    <w:p w14:paraId="7D1154D7" w14:textId="77777777" w:rsidR="00D52FDD" w:rsidRPr="00C97F42" w:rsidRDefault="00D52FDD" w:rsidP="00D52FDD">
      <w:pPr>
        <w:pStyle w:val="Heading2"/>
        <w:spacing w:line="240" w:lineRule="auto"/>
        <w:rPr>
          <w:rFonts w:eastAsia="Times New Roman" w:cs="PT Bold Heading"/>
          <w:sz w:val="26"/>
          <w:szCs w:val="26"/>
          <w:lang w:eastAsia="ar-SA"/>
        </w:rPr>
      </w:pPr>
      <w:r w:rsidRPr="00C97F42">
        <w:rPr>
          <w:rFonts w:eastAsia="Times New Roman" w:cs="PT Bold Heading"/>
          <w:sz w:val="26"/>
          <w:szCs w:val="26"/>
          <w:rtl/>
          <w:lang w:eastAsia="ar-SA"/>
        </w:rPr>
        <w:t>مادة (47)</w:t>
      </w:r>
    </w:p>
    <w:p w14:paraId="1CF0C899" w14:textId="77777777" w:rsidR="00D52FDD" w:rsidRPr="00C97F42" w:rsidRDefault="00D52FDD" w:rsidP="00D52FDD">
      <w:pPr>
        <w:bidi/>
        <w:spacing w:after="0" w:line="360" w:lineRule="auto"/>
        <w:ind w:firstLine="282"/>
        <w:jc w:val="lowKashida"/>
        <w:rPr>
          <w:rFonts w:asciiTheme="majorBidi" w:hAnsiTheme="majorBidi" w:cstheme="majorBidi"/>
          <w:sz w:val="27"/>
          <w:szCs w:val="27"/>
          <w:rtl/>
        </w:rPr>
      </w:pPr>
      <w:r w:rsidRPr="00C97F42">
        <w:rPr>
          <w:rFonts w:asciiTheme="majorBidi" w:hAnsiTheme="majorBidi" w:cstheme="majorBidi"/>
          <w:sz w:val="27"/>
          <w:szCs w:val="27"/>
          <w:rtl/>
        </w:rPr>
        <w:t>يلغى كل نص يتعارض مع أحكام هذا القانون.</w:t>
      </w:r>
    </w:p>
    <w:p w14:paraId="5C4C5F3C" w14:textId="77777777" w:rsidR="00D52FDD" w:rsidRPr="00C97F42" w:rsidRDefault="00D52FDD" w:rsidP="00D52FDD">
      <w:pPr>
        <w:pStyle w:val="Heading2"/>
        <w:spacing w:line="240" w:lineRule="auto"/>
        <w:rPr>
          <w:rFonts w:eastAsia="Times New Roman" w:cs="PT Bold Heading"/>
          <w:sz w:val="26"/>
          <w:szCs w:val="26"/>
          <w:rtl/>
          <w:lang w:eastAsia="ar-SA"/>
        </w:rPr>
      </w:pPr>
      <w:r w:rsidRPr="00C97F42">
        <w:rPr>
          <w:rFonts w:eastAsia="Times New Roman" w:cs="PT Bold Heading"/>
          <w:sz w:val="26"/>
          <w:szCs w:val="26"/>
          <w:rtl/>
          <w:lang w:eastAsia="ar-SA"/>
        </w:rPr>
        <w:lastRenderedPageBreak/>
        <w:t>مادة (48)</w:t>
      </w:r>
    </w:p>
    <w:p w14:paraId="78EE6FD6" w14:textId="77777777" w:rsidR="00D52FDD" w:rsidRDefault="00D52FDD" w:rsidP="00D52FDD">
      <w:pPr>
        <w:bidi/>
        <w:spacing w:after="0" w:line="360" w:lineRule="auto"/>
        <w:ind w:firstLine="282"/>
        <w:jc w:val="lowKashida"/>
        <w:rPr>
          <w:rFonts w:asciiTheme="majorBidi" w:hAnsiTheme="majorBidi" w:cstheme="majorBidi"/>
          <w:sz w:val="27"/>
          <w:szCs w:val="27"/>
          <w:rtl/>
        </w:rPr>
      </w:pPr>
      <w:r w:rsidRPr="00C97F42">
        <w:rPr>
          <w:rFonts w:asciiTheme="majorBidi" w:hAnsiTheme="majorBidi" w:cstheme="majorBidi"/>
          <w:sz w:val="27"/>
          <w:szCs w:val="27"/>
          <w:rtl/>
        </w:rPr>
        <w:t>على رئيس مجلس الوزراء والوزراء - كل فيما يخصه - تنفيذ هذا القانون، ويعمل به من تاريخ نشره في الجريدة الرسمية.</w:t>
      </w:r>
    </w:p>
    <w:p w14:paraId="6E456C49" w14:textId="77777777" w:rsidR="00D52FDD" w:rsidRDefault="00D52FDD" w:rsidP="00D52FDD">
      <w:pPr>
        <w:bidi/>
        <w:spacing w:after="0" w:line="360" w:lineRule="auto"/>
        <w:ind w:firstLine="282"/>
        <w:jc w:val="lowKashida"/>
        <w:rPr>
          <w:rFonts w:asciiTheme="majorBidi" w:hAnsiTheme="majorBidi" w:cstheme="majorBidi"/>
          <w:sz w:val="27"/>
          <w:szCs w:val="27"/>
          <w:rtl/>
        </w:rPr>
      </w:pPr>
    </w:p>
    <w:p w14:paraId="78581CFC" w14:textId="77777777" w:rsidR="00D52FDD" w:rsidRDefault="00D52FDD" w:rsidP="00D52FDD">
      <w:pPr>
        <w:bidi/>
        <w:spacing w:after="0" w:line="360" w:lineRule="auto"/>
        <w:ind w:firstLine="282"/>
        <w:jc w:val="lowKashida"/>
        <w:rPr>
          <w:rFonts w:asciiTheme="majorBidi" w:hAnsiTheme="majorBidi" w:cstheme="majorBidi"/>
          <w:sz w:val="27"/>
          <w:szCs w:val="27"/>
          <w:rtl/>
        </w:rPr>
      </w:pPr>
    </w:p>
    <w:p w14:paraId="675CE21C" w14:textId="77777777" w:rsidR="00D52FDD" w:rsidRDefault="00D52FDD" w:rsidP="00D52FDD">
      <w:pPr>
        <w:bidi/>
        <w:spacing w:after="0" w:line="360" w:lineRule="auto"/>
        <w:ind w:firstLine="282"/>
        <w:jc w:val="lowKashida"/>
        <w:rPr>
          <w:rFonts w:asciiTheme="majorBidi" w:hAnsiTheme="majorBidi" w:cstheme="majorBidi"/>
          <w:sz w:val="27"/>
          <w:szCs w:val="27"/>
          <w:rtl/>
        </w:rPr>
      </w:pPr>
    </w:p>
    <w:p w14:paraId="715B4208" w14:textId="77777777" w:rsidR="00D52FDD" w:rsidRPr="00C97F42" w:rsidRDefault="00D52FDD" w:rsidP="00D52FDD">
      <w:pPr>
        <w:bidi/>
        <w:spacing w:after="0" w:line="360" w:lineRule="auto"/>
        <w:ind w:firstLine="282"/>
        <w:jc w:val="lowKashida"/>
        <w:rPr>
          <w:rFonts w:asciiTheme="majorBidi" w:hAnsiTheme="majorBidi" w:cstheme="majorBidi"/>
          <w:sz w:val="27"/>
          <w:szCs w:val="27"/>
        </w:rPr>
      </w:pPr>
    </w:p>
    <w:p w14:paraId="55012265" w14:textId="77777777" w:rsidR="00D52FDD" w:rsidRPr="00C97F42" w:rsidRDefault="00D52FDD" w:rsidP="00D52FDD">
      <w:pPr>
        <w:bidi/>
        <w:spacing w:after="0" w:line="240" w:lineRule="auto"/>
        <w:ind w:left="4320" w:firstLine="720"/>
        <w:rPr>
          <w:rFonts w:ascii="Arial" w:eastAsia="Times New Roman" w:hAnsi="Arial" w:cs="PT Bold Heading"/>
          <w:b/>
          <w:bCs/>
          <w:sz w:val="26"/>
          <w:szCs w:val="26"/>
          <w:rtl/>
          <w:lang w:eastAsia="ar-SA"/>
        </w:rPr>
      </w:pPr>
      <w:r>
        <w:rPr>
          <w:rFonts w:ascii="Arial" w:eastAsia="Times New Roman" w:hAnsi="Arial" w:cs="PT Bold Heading"/>
          <w:b/>
          <w:bCs/>
          <w:sz w:val="28"/>
          <w:szCs w:val="28"/>
          <w:lang w:eastAsia="ar-SA"/>
        </w:rPr>
        <w:t xml:space="preserve">    </w:t>
      </w:r>
      <w:r w:rsidRPr="00C97F42">
        <w:rPr>
          <w:rFonts w:ascii="Arial" w:eastAsia="Times New Roman" w:hAnsi="Arial" w:cs="PT Bold Heading"/>
          <w:b/>
          <w:bCs/>
          <w:sz w:val="26"/>
          <w:szCs w:val="26"/>
          <w:rtl/>
          <w:lang w:eastAsia="ar-SA"/>
        </w:rPr>
        <w:t>ملك مملكة البحرين</w:t>
      </w:r>
    </w:p>
    <w:p w14:paraId="27914F57" w14:textId="77777777" w:rsidR="00D52FDD" w:rsidRPr="00C97F42" w:rsidRDefault="00D52FDD" w:rsidP="00D52FDD">
      <w:pPr>
        <w:bidi/>
        <w:spacing w:after="0" w:line="240" w:lineRule="auto"/>
        <w:ind w:left="4320" w:firstLine="720"/>
        <w:rPr>
          <w:rFonts w:ascii="Arial" w:eastAsia="Times New Roman" w:hAnsi="Arial" w:cs="PT Bold Heading"/>
          <w:b/>
          <w:bCs/>
          <w:sz w:val="26"/>
          <w:szCs w:val="26"/>
          <w:rtl/>
          <w:lang w:eastAsia="ar-SA"/>
        </w:rPr>
      </w:pPr>
      <w:r w:rsidRPr="00C97F42">
        <w:rPr>
          <w:rFonts w:ascii="Arial" w:eastAsia="Times New Roman" w:hAnsi="Arial" w:cs="PT Bold Heading"/>
          <w:b/>
          <w:bCs/>
          <w:sz w:val="26"/>
          <w:szCs w:val="26"/>
          <w:lang w:eastAsia="ar-SA"/>
        </w:rPr>
        <w:t xml:space="preserve">  </w:t>
      </w:r>
      <w:r w:rsidRPr="00C97F42">
        <w:rPr>
          <w:rFonts w:ascii="Arial" w:eastAsia="Times New Roman" w:hAnsi="Arial" w:cs="PT Bold Heading"/>
          <w:b/>
          <w:bCs/>
          <w:sz w:val="26"/>
          <w:szCs w:val="26"/>
          <w:rtl/>
          <w:lang w:eastAsia="ar-SA"/>
        </w:rPr>
        <w:t>حمد بن عيسى آل خليفة</w:t>
      </w:r>
    </w:p>
    <w:p w14:paraId="0C9D7D7F" w14:textId="77777777" w:rsidR="00D52FDD" w:rsidRPr="00C97F42" w:rsidRDefault="00D52FDD" w:rsidP="00D52FDD">
      <w:pPr>
        <w:bidi/>
        <w:spacing w:after="0" w:line="240" w:lineRule="auto"/>
        <w:rPr>
          <w:rFonts w:ascii="Arial" w:eastAsia="Times New Roman" w:hAnsi="Arial" w:cs="PT Bold Heading"/>
          <w:b/>
          <w:bCs/>
          <w:sz w:val="26"/>
          <w:szCs w:val="26"/>
          <w:rtl/>
          <w:lang w:eastAsia="ar-SA"/>
        </w:rPr>
      </w:pPr>
      <w:r w:rsidRPr="00C97F42">
        <w:rPr>
          <w:rFonts w:ascii="Arial" w:eastAsia="Times New Roman" w:hAnsi="Arial" w:cs="PT Bold Heading"/>
          <w:b/>
          <w:bCs/>
          <w:sz w:val="26"/>
          <w:szCs w:val="26"/>
          <w:lang w:eastAsia="ar-SA"/>
        </w:rPr>
        <w:t xml:space="preserve">                               </w:t>
      </w:r>
      <w:r w:rsidRPr="00C97F42">
        <w:rPr>
          <w:rFonts w:ascii="Arial" w:eastAsia="Times New Roman" w:hAnsi="Arial" w:cs="PT Bold Heading"/>
          <w:b/>
          <w:bCs/>
          <w:sz w:val="26"/>
          <w:szCs w:val="26"/>
          <w:rtl/>
          <w:lang w:eastAsia="ar-SA"/>
        </w:rPr>
        <w:t>رئيس مجلس الوزراء</w:t>
      </w:r>
    </w:p>
    <w:p w14:paraId="10E43028" w14:textId="77777777" w:rsidR="00D52FDD" w:rsidRPr="00C97F42" w:rsidRDefault="00D52FDD" w:rsidP="00D52FDD">
      <w:pPr>
        <w:bidi/>
        <w:spacing w:after="0" w:line="240" w:lineRule="auto"/>
        <w:rPr>
          <w:rFonts w:ascii="Arial" w:eastAsia="Times New Roman" w:hAnsi="Arial" w:cs="PT Bold Heading"/>
          <w:b/>
          <w:bCs/>
          <w:sz w:val="26"/>
          <w:szCs w:val="26"/>
          <w:rtl/>
          <w:lang w:eastAsia="ar-SA"/>
        </w:rPr>
      </w:pPr>
      <w:r w:rsidRPr="00C97F42">
        <w:rPr>
          <w:rFonts w:ascii="Arial" w:eastAsia="Times New Roman" w:hAnsi="Arial" w:cs="PT Bold Heading"/>
          <w:b/>
          <w:bCs/>
          <w:sz w:val="26"/>
          <w:szCs w:val="26"/>
          <w:lang w:eastAsia="ar-SA"/>
        </w:rPr>
        <w:t xml:space="preserve">                            </w:t>
      </w:r>
      <w:r w:rsidRPr="00C97F42">
        <w:rPr>
          <w:rFonts w:ascii="Arial" w:eastAsia="Times New Roman" w:hAnsi="Arial" w:cs="PT Bold Heading"/>
          <w:b/>
          <w:bCs/>
          <w:sz w:val="26"/>
          <w:szCs w:val="26"/>
          <w:rtl/>
          <w:lang w:eastAsia="ar-SA"/>
        </w:rPr>
        <w:t>خليفة بن سلمان آل خليفة</w:t>
      </w:r>
    </w:p>
    <w:p w14:paraId="1D1818CB" w14:textId="77777777" w:rsidR="00D52FDD" w:rsidRPr="00C97F42" w:rsidRDefault="00D52FDD" w:rsidP="00D52FDD">
      <w:pPr>
        <w:bidi/>
        <w:spacing w:after="0" w:line="240" w:lineRule="auto"/>
        <w:jc w:val="lowKashida"/>
        <w:rPr>
          <w:rFonts w:ascii="Arial" w:eastAsia="Times New Roman" w:hAnsi="Arial" w:cs="PT Bold Heading"/>
          <w:b/>
          <w:bCs/>
          <w:sz w:val="26"/>
          <w:szCs w:val="26"/>
          <w:rtl/>
          <w:lang w:eastAsia="ar-SA"/>
        </w:rPr>
      </w:pPr>
      <w:r w:rsidRPr="00C97F42">
        <w:rPr>
          <w:rFonts w:asciiTheme="majorBidi" w:eastAsia="Times New Roman" w:hAnsiTheme="majorBidi" w:cstheme="majorBidi"/>
          <w:b/>
          <w:bCs/>
          <w:sz w:val="26"/>
          <w:szCs w:val="26"/>
          <w:rtl/>
        </w:rPr>
        <w:t> </w:t>
      </w:r>
      <w:r w:rsidRPr="00C97F42">
        <w:rPr>
          <w:rFonts w:ascii="Arial" w:eastAsia="Times New Roman" w:hAnsi="Arial" w:cs="PT Bold Heading"/>
          <w:b/>
          <w:bCs/>
          <w:sz w:val="26"/>
          <w:szCs w:val="26"/>
          <w:rtl/>
          <w:lang w:eastAsia="ar-SA"/>
        </w:rPr>
        <w:t>صدر في قصر الرفاع:</w:t>
      </w:r>
    </w:p>
    <w:p w14:paraId="407BE84E" w14:textId="77777777" w:rsidR="00D52FDD" w:rsidRPr="00C97F42" w:rsidRDefault="00D52FDD" w:rsidP="00D52FDD">
      <w:pPr>
        <w:bidi/>
        <w:spacing w:after="0" w:line="240" w:lineRule="auto"/>
        <w:rPr>
          <w:rFonts w:ascii="Arial" w:eastAsia="Times New Roman" w:hAnsi="Arial" w:cs="PT Bold Heading"/>
          <w:b/>
          <w:bCs/>
          <w:sz w:val="26"/>
          <w:szCs w:val="26"/>
          <w:rtl/>
          <w:lang w:eastAsia="ar-SA"/>
        </w:rPr>
      </w:pPr>
      <w:r w:rsidRPr="00C97F42">
        <w:rPr>
          <w:rFonts w:ascii="Arial" w:eastAsia="Times New Roman" w:hAnsi="Arial" w:cs="PT Bold Heading"/>
          <w:b/>
          <w:bCs/>
          <w:sz w:val="26"/>
          <w:szCs w:val="26"/>
          <w:rtl/>
          <w:lang w:eastAsia="ar-SA"/>
        </w:rPr>
        <w:t>بتاريخ 22 ربيع الآخر 1423هـ</w:t>
      </w:r>
    </w:p>
    <w:p w14:paraId="6C8BD9E4" w14:textId="77777777" w:rsidR="00D52FDD" w:rsidRPr="00BA5CB9" w:rsidRDefault="00D52FDD" w:rsidP="00D52FDD">
      <w:pPr>
        <w:bidi/>
        <w:spacing w:after="0" w:line="240" w:lineRule="auto"/>
        <w:rPr>
          <w:rFonts w:asciiTheme="majorBidi" w:hAnsiTheme="majorBidi" w:cstheme="majorBidi"/>
          <w:sz w:val="28"/>
          <w:szCs w:val="28"/>
        </w:rPr>
      </w:pPr>
      <w:r w:rsidRPr="00C97F42">
        <w:rPr>
          <w:rFonts w:ascii="Arial" w:eastAsia="Times New Roman" w:hAnsi="Arial" w:cs="PT Bold Heading"/>
          <w:b/>
          <w:bCs/>
          <w:sz w:val="26"/>
          <w:szCs w:val="26"/>
          <w:rtl/>
          <w:lang w:eastAsia="ar-SA"/>
        </w:rPr>
        <w:t>الموافق 3 يوليو 2002م</w:t>
      </w:r>
    </w:p>
    <w:p w14:paraId="4C32ECB3" w14:textId="77777777" w:rsidR="00D52FDD" w:rsidRDefault="00D52FDD" w:rsidP="00D52FDD"/>
    <w:p w14:paraId="70956F42" w14:textId="77777777" w:rsidR="00D52FDD" w:rsidRDefault="00D52FDD"/>
    <w:sectPr w:rsidR="00D52FDD" w:rsidSect="00027D4A">
      <w:footerReference w:type="default" r:id="rId11"/>
      <w:pgSz w:w="10773" w:h="14175"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7BCCC" w14:textId="77777777" w:rsidR="00DF4AA9" w:rsidRDefault="00DF4AA9" w:rsidP="00D52FDD">
      <w:pPr>
        <w:spacing w:after="0" w:line="240" w:lineRule="auto"/>
      </w:pPr>
      <w:r>
        <w:separator/>
      </w:r>
    </w:p>
  </w:endnote>
  <w:endnote w:type="continuationSeparator" w:id="0">
    <w:p w14:paraId="26B75147" w14:textId="77777777" w:rsidR="00DF4AA9" w:rsidRDefault="00DF4AA9" w:rsidP="00D5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8"/>
        <w:szCs w:val="28"/>
      </w:rPr>
      <w:id w:val="560145135"/>
      <w:docPartObj>
        <w:docPartGallery w:val="Page Numbers (Bottom of Page)"/>
        <w:docPartUnique/>
      </w:docPartObj>
    </w:sdtPr>
    <w:sdtEndPr>
      <w:rPr>
        <w:noProof/>
      </w:rPr>
    </w:sdtEndPr>
    <w:sdtContent>
      <w:p w14:paraId="32621368" w14:textId="77777777" w:rsidR="00090448" w:rsidRPr="00A85889" w:rsidRDefault="00DB058A">
        <w:pPr>
          <w:pStyle w:val="Footer"/>
          <w:jc w:val="center"/>
          <w:rPr>
            <w:b/>
            <w:bCs/>
            <w:sz w:val="28"/>
            <w:szCs w:val="28"/>
          </w:rPr>
        </w:pPr>
        <w:r w:rsidRPr="00A85889">
          <w:rPr>
            <w:b/>
            <w:bCs/>
            <w:sz w:val="28"/>
            <w:szCs w:val="28"/>
          </w:rPr>
          <w:fldChar w:fldCharType="begin"/>
        </w:r>
        <w:r w:rsidRPr="00A85889">
          <w:rPr>
            <w:b/>
            <w:bCs/>
            <w:sz w:val="28"/>
            <w:szCs w:val="28"/>
          </w:rPr>
          <w:instrText xml:space="preserve"> PAGE   \* MERGEFORMAT </w:instrText>
        </w:r>
        <w:r w:rsidRPr="00A85889">
          <w:rPr>
            <w:b/>
            <w:bCs/>
            <w:sz w:val="28"/>
            <w:szCs w:val="28"/>
          </w:rPr>
          <w:fldChar w:fldCharType="separate"/>
        </w:r>
        <w:r>
          <w:rPr>
            <w:b/>
            <w:bCs/>
            <w:noProof/>
            <w:sz w:val="28"/>
            <w:szCs w:val="28"/>
          </w:rPr>
          <w:t>1</w:t>
        </w:r>
        <w:r w:rsidRPr="00A85889">
          <w:rPr>
            <w:b/>
            <w:bCs/>
            <w:noProof/>
            <w:sz w:val="28"/>
            <w:szCs w:val="28"/>
          </w:rPr>
          <w:fldChar w:fldCharType="end"/>
        </w:r>
      </w:p>
    </w:sdtContent>
  </w:sdt>
  <w:p w14:paraId="778F4323" w14:textId="77777777" w:rsidR="00090448" w:rsidRDefault="00090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17CEE" w14:textId="77777777" w:rsidR="00DF4AA9" w:rsidRDefault="00DF4AA9" w:rsidP="00D52FDD">
      <w:pPr>
        <w:spacing w:after="0" w:line="240" w:lineRule="auto"/>
      </w:pPr>
      <w:r>
        <w:separator/>
      </w:r>
    </w:p>
  </w:footnote>
  <w:footnote w:type="continuationSeparator" w:id="0">
    <w:p w14:paraId="7121B4E6" w14:textId="77777777" w:rsidR="00DF4AA9" w:rsidRDefault="00DF4AA9" w:rsidP="00D52FDD">
      <w:pPr>
        <w:spacing w:after="0" w:line="240" w:lineRule="auto"/>
      </w:pPr>
      <w:r>
        <w:continuationSeparator/>
      </w:r>
    </w:p>
  </w:footnote>
  <w:footnote w:id="1">
    <w:p w14:paraId="58AF6605" w14:textId="77777777" w:rsidR="00D52FDD" w:rsidRPr="00BA5CB9" w:rsidRDefault="00D52FDD" w:rsidP="00D52FDD">
      <w:pPr>
        <w:pStyle w:val="FootnoteText"/>
        <w:rPr>
          <w:rtl/>
        </w:rPr>
      </w:pPr>
      <w:r w:rsidRPr="00BA5CB9">
        <w:rPr>
          <w:rStyle w:val="FootnoteReference"/>
          <w:b/>
          <w:bCs/>
          <w:rtl/>
        </w:rPr>
        <w:t>(</w:t>
      </w:r>
      <w:r w:rsidRPr="00BA5CB9">
        <w:rPr>
          <w:rStyle w:val="FootnoteReference"/>
          <w:b/>
          <w:bCs/>
          <w:rtl/>
        </w:rPr>
        <w:footnoteRef/>
      </w:r>
      <w:r w:rsidRPr="00BA5CB9">
        <w:rPr>
          <w:rStyle w:val="FootnoteReference"/>
          <w:b/>
          <w:bCs/>
          <w:rtl/>
        </w:rPr>
        <w:t>)</w:t>
      </w:r>
      <w:r w:rsidRPr="00BA5CB9">
        <w:t xml:space="preserve"> </w:t>
      </w:r>
      <w:r>
        <w:rPr>
          <w:rFonts w:hint="cs"/>
          <w:rtl/>
        </w:rPr>
        <w:t>استُبدلت بموجب</w:t>
      </w:r>
      <w:r w:rsidRPr="00BA5CB9">
        <w:rPr>
          <w:rtl/>
        </w:rPr>
        <w:t xml:space="preserve"> المرسوم بقانون رقم (39) لسنة 2012</w:t>
      </w:r>
      <w:r>
        <w:rPr>
          <w:rFonts w:hint="cs"/>
          <w:rtl/>
        </w:rPr>
        <w:t xml:space="preserve"> بتعديل بعض أحكام المرسوم بقانون رقم (15) لسنة 2002 بشأن مجلسي الشورى والنواب.</w:t>
      </w:r>
    </w:p>
  </w:footnote>
  <w:footnote w:id="2">
    <w:p w14:paraId="5BE9A33C" w14:textId="77777777" w:rsidR="00D52FDD" w:rsidRPr="00BA5CB9" w:rsidRDefault="00D52FDD" w:rsidP="00D52FDD">
      <w:pPr>
        <w:pStyle w:val="FootnoteText"/>
        <w:rPr>
          <w:rtl/>
        </w:rPr>
      </w:pPr>
      <w:r w:rsidRPr="00BA5CB9">
        <w:rPr>
          <w:rStyle w:val="FootnoteReference"/>
          <w:b/>
          <w:bCs/>
          <w:rtl/>
        </w:rPr>
        <w:t>(</w:t>
      </w:r>
      <w:r w:rsidRPr="00BA5CB9">
        <w:rPr>
          <w:rStyle w:val="FootnoteReference"/>
          <w:b/>
          <w:bCs/>
          <w:rtl/>
        </w:rPr>
        <w:footnoteRef/>
      </w:r>
      <w:r w:rsidRPr="00BA5CB9">
        <w:rPr>
          <w:rStyle w:val="FootnoteReference"/>
          <w:b/>
          <w:bCs/>
          <w:rtl/>
        </w:rPr>
        <w:t>)</w:t>
      </w:r>
      <w:r w:rsidRPr="00BA5CB9">
        <w:t xml:space="preserve"> </w:t>
      </w:r>
      <w:r w:rsidRPr="00BA5CB9">
        <w:rPr>
          <w:rtl/>
        </w:rPr>
        <w:t>ا</w:t>
      </w:r>
      <w:r>
        <w:rPr>
          <w:rFonts w:hint="cs"/>
          <w:rtl/>
        </w:rPr>
        <w:t>ستُبدل بموجب</w:t>
      </w:r>
      <w:r w:rsidRPr="00BA5CB9">
        <w:rPr>
          <w:rtl/>
        </w:rPr>
        <w:t xml:space="preserve"> المرسوم بقانون رقم (39) لسنة 2012</w:t>
      </w:r>
      <w:r w:rsidRPr="002D3297">
        <w:rPr>
          <w:rFonts w:hint="cs"/>
          <w:rtl/>
        </w:rPr>
        <w:t xml:space="preserve"> </w:t>
      </w:r>
      <w:r>
        <w:rPr>
          <w:rFonts w:hint="cs"/>
          <w:rtl/>
        </w:rPr>
        <w:t>بتعديل بعض أحكام المرسوم بقانون رقم (15) لسنة 2002 بشأن مجلسي الشورى والنواب.</w:t>
      </w:r>
    </w:p>
    <w:p w14:paraId="2D281156" w14:textId="77777777" w:rsidR="00D52FDD" w:rsidRPr="00BA5CB9" w:rsidRDefault="00D52FDD" w:rsidP="00D52FDD">
      <w:pPr>
        <w:pStyle w:val="FootnoteText"/>
        <w:rPr>
          <w:rtl/>
        </w:rPr>
      </w:pPr>
    </w:p>
  </w:footnote>
  <w:footnote w:id="3">
    <w:p w14:paraId="752DD03A" w14:textId="77777777" w:rsidR="00D52FDD" w:rsidRPr="00BA5CB9" w:rsidRDefault="00D52FDD" w:rsidP="00D52FDD">
      <w:pPr>
        <w:pStyle w:val="FootnoteText"/>
        <w:rPr>
          <w:rtl/>
        </w:rPr>
      </w:pPr>
      <w:r w:rsidRPr="00BA5CB9">
        <w:rPr>
          <w:rStyle w:val="FootnoteReference"/>
          <w:b/>
          <w:bCs/>
          <w:rtl/>
        </w:rPr>
        <w:t>(</w:t>
      </w:r>
      <w:r w:rsidRPr="00BA5CB9">
        <w:rPr>
          <w:rStyle w:val="FootnoteReference"/>
          <w:b/>
          <w:bCs/>
          <w:rtl/>
        </w:rPr>
        <w:footnoteRef/>
      </w:r>
      <w:r w:rsidRPr="00BA5CB9">
        <w:rPr>
          <w:rStyle w:val="FootnoteReference"/>
          <w:b/>
          <w:bCs/>
          <w:rtl/>
        </w:rPr>
        <w:t>)</w:t>
      </w:r>
      <w:r w:rsidRPr="00BA5CB9">
        <w:rPr>
          <w:rtl/>
        </w:rPr>
        <w:t xml:space="preserve"> </w:t>
      </w:r>
      <w:r>
        <w:rPr>
          <w:rFonts w:hint="cs"/>
          <w:rtl/>
        </w:rPr>
        <w:t>استُبدل بموجب</w:t>
      </w:r>
      <w:r w:rsidRPr="00BA5CB9">
        <w:rPr>
          <w:rtl/>
        </w:rPr>
        <w:t xml:space="preserve"> </w:t>
      </w:r>
      <w:r>
        <w:rPr>
          <w:rFonts w:hint="cs"/>
          <w:rtl/>
        </w:rPr>
        <w:t>ا</w:t>
      </w:r>
      <w:r w:rsidRPr="00BA5CB9">
        <w:rPr>
          <w:rtl/>
        </w:rPr>
        <w:t>لمرسوم بقانون رقم (39) لسنة 2012</w:t>
      </w:r>
      <w:r>
        <w:rPr>
          <w:rFonts w:hint="cs"/>
          <w:rtl/>
        </w:rPr>
        <w:t xml:space="preserve"> بتعديل بعض أحكام المرسوم بقانون رقم (15) لسنة 2002 بشأن مجلسي الشورى والنواب.</w:t>
      </w:r>
    </w:p>
  </w:footnote>
  <w:footnote w:id="4">
    <w:p w14:paraId="799A45EA" w14:textId="77777777" w:rsidR="00D52FDD" w:rsidRPr="00BA5CB9" w:rsidRDefault="00D52FDD" w:rsidP="00D52FDD">
      <w:pPr>
        <w:pStyle w:val="FootnoteText"/>
        <w:rPr>
          <w:rtl/>
        </w:rPr>
      </w:pPr>
      <w:r w:rsidRPr="00BA5CB9">
        <w:rPr>
          <w:rStyle w:val="FootnoteReference"/>
          <w:b/>
          <w:bCs/>
          <w:rtl/>
        </w:rPr>
        <w:t>(</w:t>
      </w:r>
      <w:r w:rsidRPr="00BA5CB9">
        <w:rPr>
          <w:rStyle w:val="FootnoteReference"/>
          <w:b/>
          <w:bCs/>
          <w:rtl/>
        </w:rPr>
        <w:footnoteRef/>
      </w:r>
      <w:r w:rsidRPr="00BA5CB9">
        <w:rPr>
          <w:rStyle w:val="FootnoteReference"/>
          <w:b/>
          <w:bCs/>
          <w:rtl/>
        </w:rPr>
        <w:t>)</w:t>
      </w:r>
      <w:r w:rsidRPr="00BA5CB9">
        <w:t xml:space="preserve"> </w:t>
      </w:r>
      <w:r w:rsidRPr="00BA5CB9">
        <w:rPr>
          <w:rtl/>
        </w:rPr>
        <w:t>أ</w:t>
      </w:r>
      <w:r>
        <w:rPr>
          <w:rFonts w:hint="cs"/>
          <w:rtl/>
        </w:rPr>
        <w:t>ُ</w:t>
      </w:r>
      <w:r w:rsidRPr="00BA5CB9">
        <w:rPr>
          <w:rtl/>
        </w:rPr>
        <w:t>ضيف</w:t>
      </w:r>
      <w:r>
        <w:rPr>
          <w:rFonts w:hint="cs"/>
          <w:rtl/>
        </w:rPr>
        <w:t xml:space="preserve"> بموجب </w:t>
      </w:r>
      <w:r w:rsidRPr="00BA5CB9">
        <w:rPr>
          <w:rtl/>
        </w:rPr>
        <w:t>المرسوم بقانون رقم (39) لسنة 2012</w:t>
      </w:r>
      <w:r>
        <w:rPr>
          <w:rFonts w:hint="cs"/>
          <w:rtl/>
        </w:rPr>
        <w:t xml:space="preserve"> بتعديل بعض أحكام المرسوم بقانون رقم (15) لسنة 2002 بشأن مجلسي الشورى والنواب.</w:t>
      </w:r>
    </w:p>
    <w:p w14:paraId="2E792429" w14:textId="77777777" w:rsidR="00D52FDD" w:rsidRPr="00BA5CB9" w:rsidRDefault="00D52FDD" w:rsidP="00D52FDD">
      <w:pPr>
        <w:pStyle w:val="FootnoteText"/>
        <w:rPr>
          <w:rtl/>
        </w:rPr>
      </w:pPr>
    </w:p>
  </w:footnote>
  <w:footnote w:id="5">
    <w:p w14:paraId="786D0000" w14:textId="77777777" w:rsidR="00D52FDD" w:rsidRPr="00BA5CB9" w:rsidRDefault="00D52FDD" w:rsidP="00D52FDD">
      <w:pPr>
        <w:pStyle w:val="FootnoteText"/>
        <w:rPr>
          <w:rtl/>
        </w:rPr>
      </w:pPr>
      <w:r w:rsidRPr="00BA5CB9">
        <w:rPr>
          <w:rStyle w:val="FootnoteReference"/>
          <w:b/>
          <w:bCs/>
          <w:rtl/>
        </w:rPr>
        <w:t>(</w:t>
      </w:r>
      <w:r w:rsidRPr="00BA5CB9">
        <w:rPr>
          <w:rStyle w:val="FootnoteReference"/>
          <w:b/>
          <w:bCs/>
          <w:rtl/>
        </w:rPr>
        <w:footnoteRef/>
      </w:r>
      <w:r w:rsidRPr="00BA5CB9">
        <w:rPr>
          <w:rStyle w:val="FootnoteReference"/>
          <w:b/>
          <w:bCs/>
          <w:rtl/>
        </w:rPr>
        <w:t>)</w:t>
      </w:r>
      <w:r w:rsidRPr="00BA5CB9">
        <w:t xml:space="preserve"> </w:t>
      </w:r>
      <w:r>
        <w:t xml:space="preserve"> </w:t>
      </w:r>
      <w:r>
        <w:rPr>
          <w:rFonts w:hint="cs"/>
          <w:rtl/>
        </w:rPr>
        <w:t>استُبدل بموجب ا</w:t>
      </w:r>
      <w:r w:rsidRPr="00BA5CB9">
        <w:rPr>
          <w:rtl/>
        </w:rPr>
        <w:t>لمرسوم بقانون رقم (39) لسنة 2012</w:t>
      </w:r>
      <w:r>
        <w:rPr>
          <w:rFonts w:hint="cs"/>
          <w:rtl/>
        </w:rPr>
        <w:t xml:space="preserve"> بتعديل بعض أحكام المرسوم بقانون رقم (15) لسنة 2002 بشأن مجلسي الشورى والنواب.</w:t>
      </w:r>
    </w:p>
    <w:p w14:paraId="08A5E84E" w14:textId="77777777" w:rsidR="00D52FDD" w:rsidRPr="00BA5CB9" w:rsidRDefault="00D52FDD" w:rsidP="00D52FDD">
      <w:pPr>
        <w:pStyle w:val="FootnoteText"/>
        <w:rPr>
          <w:rtl/>
        </w:rPr>
      </w:pPr>
    </w:p>
  </w:footnote>
  <w:footnote w:id="6">
    <w:p w14:paraId="5FCDA5D1" w14:textId="579C2F1D" w:rsidR="00D52FDD" w:rsidRPr="00BA5CB9" w:rsidRDefault="00D52FDD" w:rsidP="00D52FDD">
      <w:pPr>
        <w:pStyle w:val="FootnoteText"/>
        <w:rPr>
          <w:rtl/>
        </w:rPr>
      </w:pPr>
      <w:r w:rsidRPr="007A3279">
        <w:rPr>
          <w:rStyle w:val="FootnoteReference"/>
          <w:b/>
          <w:bCs/>
          <w:rtl/>
        </w:rPr>
        <w:t>(</w:t>
      </w:r>
      <w:r w:rsidRPr="007A3279">
        <w:rPr>
          <w:rStyle w:val="FootnoteReference"/>
          <w:b/>
          <w:bCs/>
          <w:rtl/>
        </w:rPr>
        <w:footnoteRef/>
      </w:r>
      <w:r w:rsidRPr="007A3279">
        <w:rPr>
          <w:rStyle w:val="FootnoteReference"/>
          <w:b/>
          <w:bCs/>
          <w:rtl/>
        </w:rPr>
        <w:t>)</w:t>
      </w:r>
      <w:r w:rsidRPr="007A3279">
        <w:rPr>
          <w:rtl/>
        </w:rPr>
        <w:t xml:space="preserve"> </w:t>
      </w:r>
      <w:r>
        <w:rPr>
          <w:rFonts w:hint="cs"/>
          <w:rtl/>
        </w:rPr>
        <w:t>أُلغي</w:t>
      </w:r>
      <w:r w:rsidR="00537D15">
        <w:rPr>
          <w:rFonts w:hint="cs"/>
          <w:rtl/>
        </w:rPr>
        <w:t xml:space="preserve"> البند (</w:t>
      </w:r>
      <w:r w:rsidR="00DA2F07">
        <w:rPr>
          <w:rFonts w:hint="cs"/>
          <w:rtl/>
        </w:rPr>
        <w:t>ب) من المادة وتم إعادة ترقيم بنود المادة</w:t>
      </w:r>
      <w:r>
        <w:rPr>
          <w:rFonts w:hint="cs"/>
          <w:rtl/>
        </w:rPr>
        <w:t xml:space="preserve"> بموجب المرسوم بقانون رقم (30) لسنة 2002 بتعديل بعض أحكام المرسوم بقانون رقم (15) لسنة 2002 بشأن مجلسي الشورى والنواب.</w:t>
      </w:r>
    </w:p>
    <w:p w14:paraId="6F5F2694" w14:textId="77777777" w:rsidR="00D52FDD" w:rsidRPr="007A3279" w:rsidRDefault="00D52FDD" w:rsidP="00D52FDD">
      <w:pPr>
        <w:pStyle w:val="FootnoteText"/>
        <w:rPr>
          <w:rtl/>
        </w:rPr>
      </w:pPr>
    </w:p>
  </w:footnote>
  <w:footnote w:id="7">
    <w:p w14:paraId="5BC312C4" w14:textId="367EA998" w:rsidR="00A75E47" w:rsidRDefault="00A75E47">
      <w:pPr>
        <w:pStyle w:val="FootnoteText"/>
        <w:rPr>
          <w:rFonts w:hint="cs"/>
        </w:rPr>
      </w:pPr>
      <w:r>
        <w:rPr>
          <w:rStyle w:val="FootnoteReference"/>
        </w:rPr>
        <w:footnoteRef/>
      </w:r>
      <w:r>
        <w:rPr>
          <w:rtl/>
        </w:rPr>
        <w:t xml:space="preserve"> </w:t>
      </w:r>
      <w:r>
        <w:rPr>
          <w:rFonts w:hint="cs"/>
          <w:rtl/>
        </w:rPr>
        <w:t>استبدلت بموجب المرسوم بقانون رقم (7) لسنة 2024 بتعديل المادة (28) من المرسوم بقانون رقم (15) لسنة 2002 بشأن مجلسي الشورى والنواب.</w:t>
      </w:r>
    </w:p>
  </w:footnote>
  <w:footnote w:id="8">
    <w:p w14:paraId="3057EBEF" w14:textId="77777777" w:rsidR="00D52FDD" w:rsidRPr="00BA5CB9" w:rsidRDefault="00D52FDD" w:rsidP="00D52FDD">
      <w:pPr>
        <w:pStyle w:val="FootnoteText"/>
        <w:rPr>
          <w:rtl/>
        </w:rPr>
      </w:pPr>
      <w:r w:rsidRPr="00AD7A87">
        <w:rPr>
          <w:vertAlign w:val="superscript"/>
          <w:rtl/>
        </w:rPr>
        <w:t>(</w:t>
      </w:r>
      <w:r w:rsidRPr="00AD7A87">
        <w:rPr>
          <w:vertAlign w:val="superscript"/>
          <w:rtl/>
        </w:rPr>
        <w:footnoteRef/>
      </w:r>
      <w:r w:rsidRPr="00AD7A87">
        <w:rPr>
          <w:vertAlign w:val="superscript"/>
          <w:rtl/>
        </w:rPr>
        <w:t xml:space="preserve">) </w:t>
      </w:r>
      <w:r>
        <w:rPr>
          <w:rFonts w:hint="cs"/>
          <w:rtl/>
        </w:rPr>
        <w:t xml:space="preserve">استُبدلت بموجب </w:t>
      </w:r>
      <w:r w:rsidRPr="00AD7A87">
        <w:rPr>
          <w:rtl/>
        </w:rPr>
        <w:t>القانون رقم (33) لسنة 2017</w:t>
      </w:r>
      <w:r>
        <w:rPr>
          <w:rFonts w:hint="cs"/>
          <w:rtl/>
        </w:rPr>
        <w:t xml:space="preserve"> بتعديل المادة (31) من المرسوم بقانون رقم (15) لسنة 2002 بشأن مجلسي الشورى والنواب.</w:t>
      </w:r>
    </w:p>
    <w:p w14:paraId="38030684" w14:textId="77777777" w:rsidR="00D52FDD" w:rsidRPr="00BA5CB9" w:rsidRDefault="00D52FDD" w:rsidP="00D52FDD">
      <w:pPr>
        <w:pStyle w:val="FootnoteText"/>
        <w:rPr>
          <w:rtl/>
        </w:rPr>
      </w:pPr>
    </w:p>
  </w:footnote>
  <w:footnote w:id="9">
    <w:p w14:paraId="671DD5DC" w14:textId="77777777" w:rsidR="00D52FDD" w:rsidRPr="00BA5CB9" w:rsidRDefault="00D52FDD" w:rsidP="00D52FDD">
      <w:pPr>
        <w:pStyle w:val="FootnoteText"/>
        <w:rPr>
          <w:rtl/>
        </w:rPr>
      </w:pPr>
      <w:r w:rsidRPr="00BA5CB9">
        <w:rPr>
          <w:rStyle w:val="FootnoteReference"/>
          <w:b/>
          <w:bCs/>
          <w:rtl/>
        </w:rPr>
        <w:t>(</w:t>
      </w:r>
      <w:r w:rsidRPr="00BA5CB9">
        <w:rPr>
          <w:rStyle w:val="FootnoteReference"/>
          <w:b/>
          <w:bCs/>
          <w:rtl/>
        </w:rPr>
        <w:footnoteRef/>
      </w:r>
      <w:r w:rsidRPr="00BA5CB9">
        <w:rPr>
          <w:rStyle w:val="FootnoteReference"/>
          <w:b/>
          <w:bCs/>
          <w:rtl/>
        </w:rPr>
        <w:t>)</w:t>
      </w:r>
      <w:r w:rsidRPr="00BA5CB9">
        <w:rPr>
          <w:rtl/>
        </w:rPr>
        <w:t xml:space="preserve"> </w:t>
      </w:r>
      <w:r>
        <w:rPr>
          <w:rFonts w:hint="cs"/>
          <w:rtl/>
        </w:rPr>
        <w:t>أضيفت بموجب</w:t>
      </w:r>
      <w:r w:rsidRPr="00BA5CB9">
        <w:rPr>
          <w:rtl/>
        </w:rPr>
        <w:t xml:space="preserve"> القانون رقم (31) لسنة 2009</w:t>
      </w:r>
      <w:r>
        <w:rPr>
          <w:rFonts w:hint="cs"/>
          <w:rtl/>
        </w:rPr>
        <w:t xml:space="preserve"> بتعديل بعض أحكام المرسوم بقانون رقم (15) لسنة 2002 بشأن مجلسي الشورى والنواب.</w:t>
      </w:r>
    </w:p>
    <w:p w14:paraId="7EA245F0" w14:textId="77777777" w:rsidR="00D52FDD" w:rsidRPr="00BA5CB9" w:rsidRDefault="00D52FDD" w:rsidP="00D52FDD">
      <w:pPr>
        <w:pStyle w:val="FootnoteText"/>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DD"/>
    <w:rsid w:val="00090448"/>
    <w:rsid w:val="000A3D55"/>
    <w:rsid w:val="001905F3"/>
    <w:rsid w:val="0041632A"/>
    <w:rsid w:val="00537D15"/>
    <w:rsid w:val="007C6A3A"/>
    <w:rsid w:val="009A40FC"/>
    <w:rsid w:val="00A75E47"/>
    <w:rsid w:val="00D52FDD"/>
    <w:rsid w:val="00D916BE"/>
    <w:rsid w:val="00DA2F07"/>
    <w:rsid w:val="00DB058A"/>
    <w:rsid w:val="00DF4A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CDE13"/>
  <w15:chartTrackingRefBased/>
  <w15:docId w15:val="{CFD173B1-7EC6-4236-A8F9-E646D010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FDD"/>
    <w:pPr>
      <w:spacing w:after="200" w:line="276" w:lineRule="auto"/>
    </w:pPr>
  </w:style>
  <w:style w:type="paragraph" w:styleId="Heading2">
    <w:name w:val="heading 2"/>
    <w:basedOn w:val="Normal"/>
    <w:link w:val="Heading2Char"/>
    <w:uiPriority w:val="99"/>
    <w:unhideWhenUsed/>
    <w:qFormat/>
    <w:rsid w:val="00D52FDD"/>
    <w:pPr>
      <w:keepNext/>
      <w:bidi/>
      <w:spacing w:after="0" w:line="360" w:lineRule="auto"/>
      <w:jc w:val="center"/>
      <w:outlineLvl w:val="1"/>
    </w:pPr>
    <w:rPr>
      <w:rFonts w:ascii="Arial" w:eastAsiaTheme="minorEastAsia"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2FDD"/>
    <w:rPr>
      <w:rFonts w:ascii="Arial" w:eastAsiaTheme="minorEastAsia" w:hAnsi="Arial" w:cs="Arial"/>
      <w:b/>
      <w:bCs/>
      <w:sz w:val="28"/>
      <w:szCs w:val="28"/>
    </w:rPr>
  </w:style>
  <w:style w:type="paragraph" w:styleId="FootnoteText">
    <w:name w:val="footnote text"/>
    <w:basedOn w:val="Normal"/>
    <w:link w:val="FootnoteTextChar"/>
    <w:autoRedefine/>
    <w:uiPriority w:val="99"/>
    <w:unhideWhenUsed/>
    <w:rsid w:val="00D52FDD"/>
    <w:pPr>
      <w:tabs>
        <w:tab w:val="center" w:pos="3968"/>
      </w:tabs>
      <w:bidi/>
      <w:spacing w:after="0" w:line="240" w:lineRule="auto"/>
    </w:pPr>
    <w:rPr>
      <w:rFonts w:asciiTheme="majorBidi" w:hAnsiTheme="majorBidi" w:cstheme="majorBidi"/>
      <w:sz w:val="24"/>
      <w:szCs w:val="24"/>
    </w:rPr>
  </w:style>
  <w:style w:type="character" w:customStyle="1" w:styleId="FootnoteTextChar">
    <w:name w:val="Footnote Text Char"/>
    <w:basedOn w:val="DefaultParagraphFont"/>
    <w:link w:val="FootnoteText"/>
    <w:uiPriority w:val="99"/>
    <w:rsid w:val="00D52FDD"/>
    <w:rPr>
      <w:rFonts w:asciiTheme="majorBidi" w:hAnsiTheme="majorBidi" w:cstheme="majorBidi"/>
      <w:sz w:val="24"/>
      <w:szCs w:val="24"/>
    </w:rPr>
  </w:style>
  <w:style w:type="character" w:styleId="FootnoteReference">
    <w:name w:val="footnote reference"/>
    <w:basedOn w:val="DefaultParagraphFont"/>
    <w:unhideWhenUsed/>
    <w:rsid w:val="00D52FDD"/>
    <w:rPr>
      <w:vertAlign w:val="superscript"/>
    </w:rPr>
  </w:style>
  <w:style w:type="paragraph" w:styleId="Footer">
    <w:name w:val="footer"/>
    <w:basedOn w:val="Normal"/>
    <w:link w:val="FooterChar"/>
    <w:uiPriority w:val="99"/>
    <w:unhideWhenUsed/>
    <w:rsid w:val="00D5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GUID xmlns="1e0fc348-9cb2-4b26-bea0-e349e3a780df" xsi:nil="true"/>
    <Main_List_Id xmlns="1e0fc348-9cb2-4b26-bea0-e349e3a780df">102282</Main_List_Id>
    <_x0639__x0645__x0648__x062f__x0020__x062c__x062f__x064a__x062f_ xmlns="1e0fc348-9cb2-4b26-bea0-e349e3a780df" xsi:nil="true"/>
    <MainGUID xmlns="1e0fc348-9cb2-4b26-bea0-e349e3a780df" xsi:nil="true"/>
    <Main_List_SrNo xmlns="1e0fc348-9cb2-4b26-bea0-e349e3a780df" xsi:nil="true"/>
    <Main_List_RefNo xmlns="1e0fc348-9cb2-4b26-bea0-e349e3a780df">(12/05/2021)-FATWA-22</Main_List_RefNo>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7949D4890CC3704AAD1F7B90B331DE70" ma:contentTypeVersion="4244" ma:contentTypeDescription="إنشاء مستند جديد." ma:contentTypeScope="" ma:versionID="9d28e48b856aaf80d07b6905dd0bea16">
  <xsd:schema xmlns:xsd="http://www.w3.org/2001/XMLSchema" xmlns:xs="http://www.w3.org/2001/XMLSchema" xmlns:p="http://schemas.microsoft.com/office/2006/metadata/properties" xmlns:ns2="1e0fc348-9cb2-4b26-bea0-e349e3a780df" xmlns:ns3="64775e3a-a83a-4eeb-b6cd-1c49622b2614" targetNamespace="http://schemas.microsoft.com/office/2006/metadata/properties" ma:root="true" ma:fieldsID="dba5a24a6d195b95f7ab968ac1f8b6be" ns2:_="" ns3:_="">
    <xsd:import namespace="1e0fc348-9cb2-4b26-bea0-e349e3a780df"/>
    <xsd:import namespace="64775e3a-a83a-4eeb-b6cd-1c49622b2614"/>
    <xsd:element name="properties">
      <xsd:complexType>
        <xsd:sequence>
          <xsd:element name="documentManagement">
            <xsd:complexType>
              <xsd:all>
                <xsd:element ref="ns2:MainGUID" minOccurs="0"/>
                <xsd:element ref="ns2:DirGUID" minOccurs="0"/>
                <xsd:element ref="ns3:_dlc_DocId" minOccurs="0"/>
                <xsd:element ref="ns3:_dlc_DocIdUrl" minOccurs="0"/>
                <xsd:element ref="ns3:_dlc_DocIdPersistId" minOccurs="0"/>
                <xsd:element ref="ns2:_x0639__x0645__x0648__x062f__x0020__x062c__x062f__x064a__x062f_" minOccurs="0"/>
                <xsd:element ref="ns2:MediaServiceMetadata" minOccurs="0"/>
                <xsd:element ref="ns2:MediaServiceFastMetadata" minOccurs="0"/>
                <xsd:element ref="ns2:Main_List_Id" minOccurs="0"/>
                <xsd:element ref="ns2:Main_List_RefNo" minOccurs="0"/>
                <xsd:element ref="ns2:Main_List_Sr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fc348-9cb2-4b26-bea0-e349e3a780df" elementFormDefault="qualified">
    <xsd:import namespace="http://schemas.microsoft.com/office/2006/documentManagement/types"/>
    <xsd:import namespace="http://schemas.microsoft.com/office/infopath/2007/PartnerControls"/>
    <xsd:element name="MainGUID" ma:index="2" nillable="true" ma:displayName="MainGUID" ma:indexed="true" ma:internalName="MainGUID" ma:readOnly="false">
      <xsd:simpleType>
        <xsd:restriction base="dms:Text"/>
      </xsd:simpleType>
    </xsd:element>
    <xsd:element name="DirGUID" ma:index="3" nillable="true" ma:displayName="DirGUID" ma:internalName="DirGUID" ma:readOnly="false">
      <xsd:simpleType>
        <xsd:restriction base="dms:Text"/>
      </xsd:simpleType>
    </xsd:element>
    <xsd:element name="_x0639__x0645__x0648__x062f__x0020__x062c__x062f__x064a__x062f_" ma:index="13" nillable="true" ma:displayName="عمود جديد" ma:internalName="_x0639__x0645__x0648__x062f__x0020__x062c__x062f__x064a__x062f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ain_List_Id" ma:index="16" nillable="true" ma:displayName="Main_List_Id" ma:internalName="Main_List_Id">
      <xsd:simpleType>
        <xsd:restriction base="dms:Text">
          <xsd:maxLength value="255"/>
        </xsd:restriction>
      </xsd:simpleType>
    </xsd:element>
    <xsd:element name="Main_List_RefNo" ma:index="17" nillable="true" ma:displayName="Main_List_RefNo" ma:internalName="Main_List_RefNo">
      <xsd:simpleType>
        <xsd:restriction base="dms:Text">
          <xsd:maxLength value="255"/>
        </xsd:restriction>
      </xsd:simpleType>
    </xsd:element>
    <xsd:element name="Main_List_SrNo" ma:index="18" nillable="true" ma:displayName="Main_List_SrNo" ma:internalName="Main_List_Sr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75e3a-a83a-4eeb-b6cd-1c49622b2614" elementFormDefault="qualified">
    <xsd:import namespace="http://schemas.microsoft.com/office/2006/documentManagement/types"/>
    <xsd:import namespace="http://schemas.microsoft.com/office/infopath/2007/PartnerControls"/>
    <xsd:element name="_dlc_DocId" ma:index="7"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8" nillable="true" ma:displayName="معرّف المستند" ma:description="ارتباط دائم إلى هذا المستند."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0E35-0465-440B-A052-089BFA1E19A3}">
  <ds:schemaRefs>
    <ds:schemaRef ds:uri="http://schemas.microsoft.com/sharepoint/events"/>
  </ds:schemaRefs>
</ds:datastoreItem>
</file>

<file path=customXml/itemProps2.xml><?xml version="1.0" encoding="utf-8"?>
<ds:datastoreItem xmlns:ds="http://schemas.openxmlformats.org/officeDocument/2006/customXml" ds:itemID="{C6F4D894-8801-43FC-95BA-AD54B10B0AA2}">
  <ds:schemaRefs>
    <ds:schemaRef ds:uri="http://schemas.microsoft.com/sharepoint/v3/contenttype/forms"/>
  </ds:schemaRefs>
</ds:datastoreItem>
</file>

<file path=customXml/itemProps3.xml><?xml version="1.0" encoding="utf-8"?>
<ds:datastoreItem xmlns:ds="http://schemas.openxmlformats.org/officeDocument/2006/customXml" ds:itemID="{02A66F55-6FCB-4AF9-ADBF-B7BDD0EDD005}">
  <ds:schemaRefs>
    <ds:schemaRef ds:uri="http://schemas.microsoft.com/office/2006/metadata/properties"/>
    <ds:schemaRef ds:uri="http://schemas.microsoft.com/office/infopath/2007/PartnerControls"/>
    <ds:schemaRef ds:uri="1e0fc348-9cb2-4b26-bea0-e349e3a780df"/>
  </ds:schemaRefs>
</ds:datastoreItem>
</file>

<file path=customXml/itemProps4.xml><?xml version="1.0" encoding="utf-8"?>
<ds:datastoreItem xmlns:ds="http://schemas.openxmlformats.org/officeDocument/2006/customXml" ds:itemID="{248500A8-9FF7-4B34-A0D1-B20B7F17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fc348-9cb2-4b26-bea0-e349e3a780df"/>
    <ds:schemaRef ds:uri="64775e3a-a83a-4eeb-b6cd-1c49622b2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74B3ED-14CD-4095-850C-CD495F76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عيسى جمعة الكعبي</dc:creator>
  <cp:keywords/>
  <dc:description/>
  <cp:lastModifiedBy>في عيسى الدوسري</cp:lastModifiedBy>
  <cp:revision>2</cp:revision>
  <dcterms:created xsi:type="dcterms:W3CDTF">2024-06-27T09:19:00Z</dcterms:created>
  <dcterms:modified xsi:type="dcterms:W3CDTF">2024-06-27T09:19:00Z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0x0101007949D4890CC3704AAD1F7B90B331DE70</vt:lpwstr>
  </property>
  <property fmtid="{D5CDD505-2E9C-101B-9397-08002B2CF9AE}" pid="3" name="عمود جديد0">
    <vt:lpwstr/>
  </property>
  <property fmtid="{D5CDD505-2E9C-101B-9397-08002B2CF9AE}" pid="4" name="الحالة">
    <vt:lpwstr>صادر</vt:lpwstr>
  </property>
</Properties>
</file>