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671B6" w14:textId="77777777" w:rsidR="000E4EA6" w:rsidRDefault="000E4EA6" w:rsidP="00C373D3">
      <w:pPr>
        <w:pStyle w:val="Heading2"/>
        <w:spacing w:line="240" w:lineRule="auto"/>
        <w:ind w:firstLine="288"/>
        <w:rPr>
          <w:rFonts w:ascii="Simplified Arabic" w:eastAsia="Times New Roman" w:hAnsi="Simplified Arabic" w:cs="PT Bold Heading"/>
          <w:b w:val="0"/>
          <w:bCs w:val="0"/>
          <w:sz w:val="32"/>
          <w:szCs w:val="32"/>
          <w:rtl/>
          <w:lang w:eastAsia="ar-SA"/>
        </w:rPr>
      </w:pPr>
    </w:p>
    <w:p w14:paraId="7F2D9213" w14:textId="74226A79" w:rsidR="000E4EA6" w:rsidRDefault="000E4EA6" w:rsidP="00C373D3">
      <w:pPr>
        <w:pStyle w:val="Heading2"/>
        <w:spacing w:line="240" w:lineRule="auto"/>
        <w:ind w:firstLine="288"/>
        <w:rPr>
          <w:rFonts w:ascii="Simplified Arabic" w:eastAsia="Times New Roman" w:hAnsi="Simplified Arabic" w:cs="PT Bold Heading"/>
          <w:b w:val="0"/>
          <w:bCs w:val="0"/>
          <w:sz w:val="32"/>
          <w:szCs w:val="32"/>
          <w:rtl/>
          <w:lang w:eastAsia="ar-SA"/>
        </w:rPr>
      </w:pPr>
    </w:p>
    <w:p w14:paraId="73523AE3" w14:textId="30A68448" w:rsidR="00C373D3" w:rsidRDefault="00C373D3" w:rsidP="00C373D3">
      <w:pPr>
        <w:pStyle w:val="Heading2"/>
        <w:spacing w:line="240" w:lineRule="auto"/>
        <w:ind w:firstLine="288"/>
        <w:rPr>
          <w:rFonts w:ascii="Simplified Arabic" w:eastAsia="Times New Roman" w:hAnsi="Simplified Arabic" w:cs="PT Bold Heading"/>
          <w:b w:val="0"/>
          <w:bCs w:val="0"/>
          <w:sz w:val="32"/>
          <w:szCs w:val="32"/>
          <w:lang w:eastAsia="ar-SA"/>
        </w:rPr>
      </w:pPr>
      <w:r w:rsidRPr="005705CA">
        <w:rPr>
          <w:rFonts w:ascii="Simplified Arabic" w:eastAsia="Times New Roman" w:hAnsi="Simplified Arabic" w:cs="PT Bold Heading" w:hint="cs"/>
          <w:b w:val="0"/>
          <w:bCs w:val="0"/>
          <w:sz w:val="32"/>
          <w:szCs w:val="32"/>
          <w:rtl/>
          <w:lang w:eastAsia="ar-SA"/>
        </w:rPr>
        <w:t>مرسوم بقانون رقم (14) لسنة 2002</w:t>
      </w:r>
    </w:p>
    <w:p w14:paraId="34AA15B2" w14:textId="77777777" w:rsidR="00C373D3" w:rsidRDefault="00C373D3" w:rsidP="00C373D3">
      <w:pPr>
        <w:pStyle w:val="Heading2"/>
        <w:spacing w:line="240" w:lineRule="auto"/>
        <w:ind w:firstLine="288"/>
        <w:rPr>
          <w:rFonts w:ascii="Simplified Arabic" w:eastAsia="Times New Roman" w:hAnsi="Simplified Arabic" w:cs="PT Bold Heading"/>
          <w:b w:val="0"/>
          <w:bCs w:val="0"/>
          <w:sz w:val="32"/>
          <w:szCs w:val="32"/>
          <w:lang w:eastAsia="ar-SA"/>
        </w:rPr>
      </w:pPr>
      <w:r>
        <w:rPr>
          <w:rFonts w:ascii="Simplified Arabic" w:eastAsia="Times New Roman" w:hAnsi="Simplified Arabic" w:cs="PT Bold Heading" w:hint="cs"/>
          <w:b w:val="0"/>
          <w:bCs w:val="0"/>
          <w:sz w:val="32"/>
          <w:szCs w:val="32"/>
          <w:rtl/>
          <w:lang w:eastAsia="ar-SA"/>
        </w:rPr>
        <w:t>بشأن مباشرة الحقوق السياسية</w:t>
      </w:r>
    </w:p>
    <w:p w14:paraId="7C0F119F" w14:textId="77777777" w:rsidR="00C373D3" w:rsidRDefault="00C373D3" w:rsidP="00C373D3">
      <w:pPr>
        <w:pStyle w:val="Heading2"/>
        <w:spacing w:line="240" w:lineRule="auto"/>
        <w:ind w:firstLine="288"/>
        <w:jc w:val="both"/>
        <w:rPr>
          <w:rFonts w:ascii="Simplified Arabic" w:eastAsia="Times New Roman" w:hAnsi="Simplified Arabic" w:cs="Simplified Arabic"/>
          <w:b w:val="0"/>
          <w:bCs w:val="0"/>
          <w:rtl/>
        </w:rPr>
      </w:pPr>
      <w:r>
        <w:rPr>
          <w:rFonts w:ascii="Simplified Arabic" w:hAnsi="Simplified Arabic" w:cs="Simplified Arabic"/>
          <w:rtl/>
        </w:rPr>
        <w:t> </w:t>
      </w:r>
    </w:p>
    <w:p w14:paraId="6923F74C" w14:textId="77777777" w:rsidR="00C373D3" w:rsidRDefault="00C373D3" w:rsidP="00C373D3">
      <w:pPr>
        <w:bidi/>
        <w:spacing w:after="0" w:line="360" w:lineRule="auto"/>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 xml:space="preserve">نحن حمد بن عيسى آل خليفة             ملك مملكة البحرين. </w:t>
      </w:r>
    </w:p>
    <w:p w14:paraId="23D3063D" w14:textId="77777777" w:rsidR="00C373D3" w:rsidRDefault="00C373D3" w:rsidP="00C373D3">
      <w:pPr>
        <w:bidi/>
        <w:spacing w:after="0" w:line="360" w:lineRule="auto"/>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 xml:space="preserve">بعد الاطلاع على الدستور، </w:t>
      </w:r>
    </w:p>
    <w:p w14:paraId="71A30DA7" w14:textId="77777777" w:rsidR="00C373D3" w:rsidRDefault="00C373D3" w:rsidP="00C373D3">
      <w:pPr>
        <w:bidi/>
        <w:spacing w:after="0" w:line="360" w:lineRule="auto"/>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وعلى المرسوم بقانون رقم (10) لسنة 1973 بشأن أحكام الانتخاب للمجلس الوطني،</w:t>
      </w:r>
    </w:p>
    <w:p w14:paraId="174FA20D" w14:textId="77777777" w:rsidR="00C373D3" w:rsidRDefault="00C373D3" w:rsidP="00C373D3">
      <w:pPr>
        <w:bidi/>
        <w:spacing w:after="0" w:line="360" w:lineRule="auto"/>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وبناءً على عرض رئيس مجلس الوزراء،</w:t>
      </w:r>
    </w:p>
    <w:p w14:paraId="6508933A" w14:textId="77777777" w:rsidR="00C373D3" w:rsidRDefault="00C373D3" w:rsidP="00C373D3">
      <w:pPr>
        <w:bidi/>
        <w:spacing w:after="0" w:line="360" w:lineRule="auto"/>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وبعد موافقة مجلس الوزراء على ذلك،</w:t>
      </w:r>
    </w:p>
    <w:p w14:paraId="1505155A" w14:textId="77777777" w:rsidR="00C373D3" w:rsidRDefault="00C373D3" w:rsidP="00C373D3">
      <w:pPr>
        <w:bidi/>
        <w:spacing w:after="0" w:line="360" w:lineRule="auto"/>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رسمنا بالقانون الآتي:</w:t>
      </w:r>
    </w:p>
    <w:p w14:paraId="7F10EC24" w14:textId="77777777" w:rsidR="00C373D3" w:rsidRDefault="00C373D3" w:rsidP="00C373D3">
      <w:pPr>
        <w:pStyle w:val="Heading2"/>
        <w:spacing w:line="240" w:lineRule="auto"/>
        <w:ind w:firstLine="288"/>
        <w:rPr>
          <w:rFonts w:ascii="Simplified Arabic" w:eastAsia="Times New Roman" w:hAnsi="Simplified Arabic" w:cs="PT Bold Heading"/>
          <w:b w:val="0"/>
          <w:bCs w:val="0"/>
          <w:rtl/>
        </w:rPr>
      </w:pPr>
      <w:r>
        <w:rPr>
          <w:rFonts w:ascii="Simplified Arabic" w:eastAsia="Times New Roman" w:hAnsi="Simplified Arabic" w:cs="PT Bold Heading" w:hint="cs"/>
          <w:b w:val="0"/>
          <w:bCs w:val="0"/>
          <w:rtl/>
        </w:rPr>
        <w:t>الفصل الأول</w:t>
      </w:r>
    </w:p>
    <w:p w14:paraId="47402819" w14:textId="77777777" w:rsidR="00C373D3" w:rsidRDefault="00C373D3" w:rsidP="00C373D3">
      <w:pPr>
        <w:pStyle w:val="Heading2"/>
        <w:spacing w:line="240" w:lineRule="auto"/>
        <w:ind w:firstLine="288"/>
        <w:rPr>
          <w:rFonts w:ascii="Simplified Arabic" w:eastAsia="Times New Roman" w:hAnsi="Simplified Arabic" w:cs="PT Bold Heading"/>
          <w:b w:val="0"/>
          <w:bCs w:val="0"/>
          <w:rtl/>
        </w:rPr>
      </w:pPr>
      <w:r>
        <w:rPr>
          <w:rFonts w:ascii="Simplified Arabic" w:eastAsia="Times New Roman" w:hAnsi="Simplified Arabic" w:cs="PT Bold Heading" w:hint="cs"/>
          <w:b w:val="0"/>
          <w:bCs w:val="0"/>
          <w:rtl/>
        </w:rPr>
        <w:t>الحقوق السياسية ومباشرتها</w:t>
      </w:r>
    </w:p>
    <w:p w14:paraId="034F2D37" w14:textId="77777777" w:rsidR="00C373D3" w:rsidRDefault="00C373D3" w:rsidP="00C373D3">
      <w:pPr>
        <w:pStyle w:val="Heading2"/>
        <w:spacing w:line="240" w:lineRule="auto"/>
        <w:ind w:firstLine="288"/>
        <w:rPr>
          <w:rFonts w:ascii="Simplified Arabic" w:eastAsia="Times New Roman" w:hAnsi="Simplified Arabic" w:cs="PT Bold Heading"/>
          <w:b w:val="0"/>
          <w:bCs w:val="0"/>
          <w:rtl/>
        </w:rPr>
      </w:pPr>
      <w:r>
        <w:rPr>
          <w:rFonts w:ascii="Simplified Arabic" w:eastAsia="Times New Roman" w:hAnsi="Simplified Arabic" w:cs="PT Bold Heading" w:hint="cs"/>
          <w:b w:val="0"/>
          <w:bCs w:val="0"/>
          <w:rtl/>
        </w:rPr>
        <w:t>المادة الأولى</w:t>
      </w:r>
    </w:p>
    <w:p w14:paraId="0F863A33"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يتمتع المواطنون - رجالاً ونساءً - بمباشرة الحقوق السياسية الآتية:</w:t>
      </w:r>
    </w:p>
    <w:p w14:paraId="2B73783E"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 xml:space="preserve">1- إبداء الرأي في كل استفتاء يجرى طبقاً لأحكام الدستور. </w:t>
      </w:r>
    </w:p>
    <w:p w14:paraId="07D8B878"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2- انتخاب أعضاء مجلس النواب.</w:t>
      </w:r>
    </w:p>
    <w:p w14:paraId="2029942F"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ويباشر المواطنون الحقوق سالفة الذكر بأنفسهم وذلك على النحو وبالشروط المبينة في هذا القانون.</w:t>
      </w:r>
    </w:p>
    <w:p w14:paraId="76269893" w14:textId="77777777" w:rsidR="00C373D3" w:rsidRDefault="00C373D3" w:rsidP="00C373D3">
      <w:pPr>
        <w:pStyle w:val="Heading2"/>
        <w:spacing w:line="240" w:lineRule="auto"/>
        <w:ind w:firstLine="288"/>
        <w:rPr>
          <w:rFonts w:ascii="Simplified Arabic" w:eastAsia="Times New Roman" w:hAnsi="Simplified Arabic" w:cs="PT Bold Heading"/>
          <w:b w:val="0"/>
          <w:bCs w:val="0"/>
          <w:rtl/>
        </w:rPr>
      </w:pPr>
      <w:r>
        <w:rPr>
          <w:rFonts w:ascii="Simplified Arabic" w:eastAsia="Times New Roman" w:hAnsi="Simplified Arabic" w:cs="PT Bold Heading" w:hint="cs"/>
          <w:b w:val="0"/>
          <w:bCs w:val="0"/>
          <w:rtl/>
        </w:rPr>
        <w:t>المادة الثانية</w:t>
      </w:r>
    </w:p>
    <w:p w14:paraId="41B846DF"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يشترط في كل مواطن لمباشرة الحقوق السياسية المنصوص عليها في هذا القانون ما يلي:</w:t>
      </w:r>
    </w:p>
    <w:p w14:paraId="5583C26F"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1- أن يكون قد بلغ من العمر عشرين سنة كاملة يوم الاستفتاء أو الانتخاب</w:t>
      </w:r>
      <w:r>
        <w:rPr>
          <w:rFonts w:asciiTheme="majorBidi" w:eastAsia="Times New Roman" w:hAnsiTheme="majorBidi" w:cstheme="majorBidi"/>
          <w:b/>
          <w:bCs/>
          <w:sz w:val="28"/>
          <w:szCs w:val="28"/>
          <w:rtl/>
        </w:rPr>
        <w:t>.</w:t>
      </w:r>
      <w:r>
        <w:rPr>
          <w:rFonts w:asciiTheme="majorBidi" w:eastAsia="Times New Roman" w:hAnsiTheme="majorBidi" w:cstheme="majorBidi"/>
          <w:b/>
          <w:bCs/>
          <w:sz w:val="28"/>
          <w:szCs w:val="28"/>
          <w:vertAlign w:val="superscript"/>
          <w:rtl/>
        </w:rPr>
        <w:t>(</w:t>
      </w:r>
      <w:r>
        <w:rPr>
          <w:b/>
          <w:bCs/>
          <w:sz w:val="28"/>
          <w:szCs w:val="28"/>
          <w:vertAlign w:val="superscript"/>
          <w:rtl/>
        </w:rPr>
        <w:footnoteReference w:id="1"/>
      </w:r>
      <w:r>
        <w:rPr>
          <w:rFonts w:asciiTheme="majorBidi" w:eastAsia="Times New Roman" w:hAnsiTheme="majorBidi" w:cstheme="majorBidi"/>
          <w:b/>
          <w:bCs/>
          <w:sz w:val="28"/>
          <w:szCs w:val="28"/>
          <w:vertAlign w:val="superscript"/>
          <w:rtl/>
        </w:rPr>
        <w:t>)</w:t>
      </w:r>
    </w:p>
    <w:p w14:paraId="3AC70BF8"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 xml:space="preserve">2- أن يكون كامل الأهلية. </w:t>
      </w:r>
    </w:p>
    <w:p w14:paraId="0122F54D"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lastRenderedPageBreak/>
        <w:t xml:space="preserve">3- أن يكون مقيما إقامة عادية في الدائرة الانتخابية طبقاً لما هو ثابت في بطاقته السكانية، وفي حالة إقامته في الخارج يكون آخر محل إقامة له في مملكة البحرين هو دائرته الانتخابية، فإن لم يكن له محل إقامة في المملكة فيعتد في هذه الحالة بمحل إقامة عائلته. </w:t>
      </w:r>
    </w:p>
    <w:p w14:paraId="35293409" w14:textId="77777777" w:rsidR="00C373D3" w:rsidRDefault="00C373D3" w:rsidP="00C373D3">
      <w:pPr>
        <w:pStyle w:val="Heading2"/>
        <w:spacing w:line="240" w:lineRule="auto"/>
        <w:ind w:firstLine="288"/>
        <w:rPr>
          <w:rFonts w:ascii="Simplified Arabic" w:eastAsia="Times New Roman" w:hAnsi="Simplified Arabic" w:cs="PT Bold Heading"/>
          <w:b w:val="0"/>
          <w:bCs w:val="0"/>
          <w:rtl/>
        </w:rPr>
      </w:pPr>
      <w:r>
        <w:rPr>
          <w:rFonts w:ascii="Simplified Arabic" w:eastAsia="Times New Roman" w:hAnsi="Simplified Arabic" w:cs="PT Bold Heading" w:hint="cs"/>
          <w:b w:val="0"/>
          <w:bCs w:val="0"/>
          <w:rtl/>
        </w:rPr>
        <w:t>المادة الثالثة</w:t>
      </w:r>
      <w:r>
        <w:rPr>
          <w:rFonts w:ascii="Simplified Arabic" w:eastAsia="Times New Roman" w:hAnsi="Simplified Arabic" w:cs="PT Bold Heading" w:hint="cs"/>
          <w:vertAlign w:val="superscript"/>
          <w:rtl/>
        </w:rPr>
        <w:t>(</w:t>
      </w:r>
      <w:r>
        <w:rPr>
          <w:rStyle w:val="FootnoteReference"/>
          <w:rFonts w:ascii="Simplified Arabic" w:eastAsia="Times New Roman" w:hAnsi="Simplified Arabic" w:cs="PT Bold Heading"/>
          <w:rtl/>
        </w:rPr>
        <w:footnoteReference w:id="2"/>
      </w:r>
      <w:r>
        <w:rPr>
          <w:rFonts w:ascii="Simplified Arabic" w:eastAsia="Times New Roman" w:hAnsi="Simplified Arabic" w:cs="PT Bold Heading" w:hint="cs"/>
          <w:vertAlign w:val="superscript"/>
          <w:rtl/>
        </w:rPr>
        <w:t>)</w:t>
      </w:r>
    </w:p>
    <w:p w14:paraId="08BE056E"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يحرم من مباشرة حق الانتخاب:</w:t>
      </w:r>
    </w:p>
    <w:p w14:paraId="7CE308DD"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Pr>
      </w:pPr>
      <w:r>
        <w:rPr>
          <w:rFonts w:asciiTheme="majorBidi" w:eastAsia="Times New Roman" w:hAnsiTheme="majorBidi" w:cstheme="majorBidi"/>
          <w:sz w:val="28"/>
          <w:szCs w:val="28"/>
          <w:rtl/>
        </w:rPr>
        <w:t>1- المحكوم عليه بعقوبة جناية أو في جريمة مخلة بالشرف أو الأمانة حتى يرد إليه اعتباره.</w:t>
      </w:r>
    </w:p>
    <w:p w14:paraId="2CD7FBD0"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2-</w:t>
      </w:r>
      <w:r>
        <w:rPr>
          <w:rFonts w:asciiTheme="majorBidi" w:eastAsia="Times New Roman" w:hAnsiTheme="majorBidi" w:cstheme="majorBidi"/>
          <w:sz w:val="28"/>
          <w:szCs w:val="28"/>
        </w:rPr>
        <w:t xml:space="preserve"> </w:t>
      </w:r>
      <w:r>
        <w:rPr>
          <w:rFonts w:asciiTheme="majorBidi" w:eastAsia="Times New Roman" w:hAnsiTheme="majorBidi" w:cstheme="majorBidi"/>
          <w:sz w:val="28"/>
          <w:szCs w:val="28"/>
          <w:rtl/>
        </w:rPr>
        <w:t>المحكوم عليه بالحبس في إحدى الجرائم الانتخابية المنصوص عليها في هذا القانون،</w:t>
      </w:r>
      <w:r>
        <w:rPr>
          <w:rFonts w:asciiTheme="majorBidi" w:eastAsia="Times New Roman" w:hAnsiTheme="majorBidi" w:cstheme="majorBidi"/>
          <w:sz w:val="28"/>
          <w:szCs w:val="28"/>
        </w:rPr>
        <w:t xml:space="preserve"> </w:t>
      </w:r>
      <w:r>
        <w:rPr>
          <w:rFonts w:asciiTheme="majorBidi" w:eastAsia="Times New Roman" w:hAnsiTheme="majorBidi" w:cstheme="majorBidi"/>
          <w:sz w:val="28"/>
          <w:szCs w:val="28"/>
          <w:rtl/>
        </w:rPr>
        <w:t>وذلك ما لم يكن الحكم موقوفاً تنفيذه أو كان المحكوم عليه قد ردَّ إليه اعتباره.</w:t>
      </w:r>
    </w:p>
    <w:p w14:paraId="74E41D9F"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ويُمنع من الترشيح لمجلس النواب كل مَن:</w:t>
      </w:r>
      <w:r>
        <w:rPr>
          <w:rFonts w:asciiTheme="majorBidi" w:eastAsia="Times New Roman" w:hAnsiTheme="majorBidi" w:cstheme="majorBidi"/>
          <w:b/>
          <w:bCs/>
          <w:sz w:val="28"/>
          <w:szCs w:val="28"/>
          <w:vertAlign w:val="superscript"/>
          <w:rtl/>
        </w:rPr>
        <w:t>(</w:t>
      </w:r>
      <w:r>
        <w:rPr>
          <w:b/>
          <w:bCs/>
          <w:sz w:val="28"/>
          <w:szCs w:val="28"/>
          <w:vertAlign w:val="superscript"/>
          <w:rtl/>
        </w:rPr>
        <w:footnoteReference w:id="3"/>
      </w:r>
      <w:r>
        <w:rPr>
          <w:rFonts w:asciiTheme="majorBidi" w:eastAsia="Times New Roman" w:hAnsiTheme="majorBidi" w:cstheme="majorBidi"/>
          <w:b/>
          <w:bCs/>
          <w:sz w:val="28"/>
          <w:szCs w:val="28"/>
          <w:vertAlign w:val="superscript"/>
          <w:rtl/>
        </w:rPr>
        <w:t>)</w:t>
      </w:r>
    </w:p>
    <w:p w14:paraId="6E514C67" w14:textId="77777777" w:rsidR="00C373D3" w:rsidRDefault="00C373D3" w:rsidP="00C373D3">
      <w:pPr>
        <w:pStyle w:val="ListParagraph"/>
        <w:numPr>
          <w:ilvl w:val="0"/>
          <w:numId w:val="1"/>
        </w:numPr>
        <w:bidi/>
        <w:spacing w:after="0" w:line="360" w:lineRule="auto"/>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المحكوم عليه بعقوبة جناية حتى وإن صدر بشأنه عفو خاص عن العقوبة أو رُدَّ إليه اعتباره.</w:t>
      </w:r>
    </w:p>
    <w:p w14:paraId="3FECFE22" w14:textId="77777777" w:rsidR="00C373D3" w:rsidRDefault="00C373D3" w:rsidP="00C373D3">
      <w:pPr>
        <w:pStyle w:val="ListParagraph"/>
        <w:numPr>
          <w:ilvl w:val="0"/>
          <w:numId w:val="1"/>
        </w:numPr>
        <w:bidi/>
        <w:spacing w:after="0" w:line="360" w:lineRule="auto"/>
        <w:jc w:val="lowKashida"/>
        <w:rPr>
          <w:rFonts w:asciiTheme="majorBidi" w:eastAsia="Times New Roman" w:hAnsiTheme="majorBidi" w:cstheme="majorBidi"/>
          <w:sz w:val="28"/>
          <w:szCs w:val="28"/>
        </w:rPr>
      </w:pPr>
      <w:r>
        <w:rPr>
          <w:rFonts w:asciiTheme="majorBidi" w:eastAsia="Times New Roman" w:hAnsiTheme="majorBidi" w:cstheme="majorBidi"/>
          <w:sz w:val="28"/>
          <w:szCs w:val="28"/>
          <w:rtl/>
        </w:rPr>
        <w:t>المحكوم عليه بعقوبة الحبس في الجرائم العمدية لمدة تزيد على ستة أشهر حتى وإن صدر بشأنه عفو خاص عن العقوبة.</w:t>
      </w:r>
    </w:p>
    <w:p w14:paraId="01DE3BCB" w14:textId="77777777" w:rsidR="00C373D3" w:rsidRDefault="00C373D3" w:rsidP="00C373D3">
      <w:pPr>
        <w:pStyle w:val="ListParagraph"/>
        <w:numPr>
          <w:ilvl w:val="0"/>
          <w:numId w:val="1"/>
        </w:numPr>
        <w:bidi/>
        <w:spacing w:after="0" w:line="360" w:lineRule="auto"/>
        <w:jc w:val="lowKashida"/>
        <w:rPr>
          <w:rFonts w:asciiTheme="majorBidi" w:eastAsia="Times New Roman" w:hAnsiTheme="majorBidi" w:cstheme="majorBidi"/>
          <w:sz w:val="28"/>
          <w:szCs w:val="28"/>
        </w:rPr>
      </w:pPr>
      <w:r>
        <w:rPr>
          <w:rFonts w:asciiTheme="majorBidi" w:eastAsia="Times New Roman" w:hAnsiTheme="majorBidi" w:cstheme="majorBidi"/>
          <w:sz w:val="28"/>
          <w:szCs w:val="28"/>
          <w:rtl/>
        </w:rPr>
        <w:t xml:space="preserve"> قيادات وأعضاء الجمعيات السياسية الفعليين المنحلَّة بحكم نهائي لارتكابها مخالفة جسيمة لأحكام دستور المملكة أو أيِّ قانون من قوانينها.</w:t>
      </w:r>
    </w:p>
    <w:p w14:paraId="45A87B44" w14:textId="77777777" w:rsidR="00C373D3" w:rsidRDefault="00C373D3" w:rsidP="00C373D3">
      <w:pPr>
        <w:pStyle w:val="ListParagraph"/>
        <w:numPr>
          <w:ilvl w:val="0"/>
          <w:numId w:val="1"/>
        </w:numPr>
        <w:bidi/>
        <w:spacing w:after="0" w:line="360" w:lineRule="auto"/>
        <w:jc w:val="lowKashida"/>
        <w:rPr>
          <w:rFonts w:asciiTheme="majorBidi" w:eastAsia="Times New Roman" w:hAnsiTheme="majorBidi" w:cstheme="majorBidi"/>
          <w:sz w:val="28"/>
          <w:szCs w:val="28"/>
        </w:rPr>
      </w:pPr>
      <w:r>
        <w:rPr>
          <w:rFonts w:asciiTheme="majorBidi" w:eastAsia="Times New Roman" w:hAnsiTheme="majorBidi" w:cstheme="majorBidi"/>
          <w:sz w:val="28"/>
          <w:szCs w:val="28"/>
          <w:rtl/>
        </w:rPr>
        <w:t>كل مَن تعمَّد الإضرار أو تعطيل سير الحياة الدستورية أو النيابية وذلك بإنهاء أو ترك العمل النيابي بالمجلس أو تم إسقاط عضويته لذات الأسباب.</w:t>
      </w:r>
    </w:p>
    <w:p w14:paraId="6B8DB319" w14:textId="77777777" w:rsidR="00C373D3" w:rsidRDefault="00C373D3" w:rsidP="00C373D3">
      <w:pPr>
        <w:pStyle w:val="Heading2"/>
        <w:spacing w:line="240" w:lineRule="auto"/>
        <w:ind w:firstLine="288"/>
        <w:rPr>
          <w:rFonts w:ascii="Simplified Arabic" w:eastAsia="Times New Roman" w:hAnsi="Simplified Arabic" w:cs="PT Bold Heading"/>
          <w:b w:val="0"/>
          <w:bCs w:val="0"/>
        </w:rPr>
      </w:pPr>
      <w:r>
        <w:rPr>
          <w:rFonts w:ascii="Simplified Arabic" w:eastAsia="Times New Roman" w:hAnsi="Simplified Arabic" w:cs="PT Bold Heading" w:hint="cs"/>
          <w:b w:val="0"/>
          <w:bCs w:val="0"/>
          <w:rtl/>
        </w:rPr>
        <w:t>المادة الرابعة</w:t>
      </w:r>
      <w:r>
        <w:rPr>
          <w:rFonts w:ascii="Simplified Arabic" w:eastAsia="Times New Roman" w:hAnsi="Simplified Arabic" w:cs="PT Bold Heading" w:hint="cs"/>
          <w:vertAlign w:val="superscript"/>
          <w:rtl/>
        </w:rPr>
        <w:t>(</w:t>
      </w:r>
      <w:r>
        <w:rPr>
          <w:rStyle w:val="FootnoteReference"/>
          <w:rFonts w:ascii="Simplified Arabic" w:eastAsia="Times New Roman" w:hAnsi="Simplified Arabic" w:cs="PT Bold Heading"/>
          <w:rtl/>
        </w:rPr>
        <w:footnoteReference w:id="4"/>
      </w:r>
      <w:r>
        <w:rPr>
          <w:rFonts w:ascii="Simplified Arabic" w:eastAsia="Times New Roman" w:hAnsi="Simplified Arabic" w:cs="PT Bold Heading" w:hint="cs"/>
          <w:vertAlign w:val="superscript"/>
          <w:rtl/>
        </w:rPr>
        <w:t>)</w:t>
      </w:r>
    </w:p>
    <w:p w14:paraId="361CBD4B"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تتولى النيابة العامة إبلاغ وزارة العدل بالأحكام النهائية التي يترتب عليها الحرمان من مباشر الحقوق السياسية، وذلك خلال خمسة عشر يوماً من التاريخ الذي يصبح فيه الحكم نهائياً.</w:t>
      </w:r>
    </w:p>
    <w:p w14:paraId="0796BFCA" w14:textId="77777777" w:rsidR="00C373D3" w:rsidRDefault="00C373D3" w:rsidP="00C373D3">
      <w:pPr>
        <w:pStyle w:val="Heading2"/>
        <w:spacing w:line="240" w:lineRule="auto"/>
        <w:ind w:firstLine="288"/>
        <w:rPr>
          <w:rFonts w:ascii="Simplified Arabic" w:eastAsia="Times New Roman" w:hAnsi="Simplified Arabic" w:cs="PT Bold Heading"/>
          <w:b w:val="0"/>
          <w:bCs w:val="0"/>
        </w:rPr>
      </w:pPr>
      <w:r>
        <w:rPr>
          <w:rFonts w:ascii="Simplified Arabic" w:eastAsia="Times New Roman" w:hAnsi="Simplified Arabic" w:cs="PT Bold Heading" w:hint="cs"/>
          <w:b w:val="0"/>
          <w:bCs w:val="0"/>
          <w:rtl/>
        </w:rPr>
        <w:t>المادة الخامسة</w:t>
      </w:r>
    </w:p>
    <w:p w14:paraId="3D485E2F"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يسري في شأن منتسبي قوة دفاع البحرين وقوات الأمن العام والحرس الوطني فيما يتعلق بمباشرة حق الانتخاب ما تنص عليه القوانين والأنظمة والتعليمات الخاصة بخدمتهم في هذا الشأن.</w:t>
      </w:r>
    </w:p>
    <w:p w14:paraId="7747DD63" w14:textId="77777777" w:rsidR="000E4EA6" w:rsidRDefault="00C373D3" w:rsidP="000E4EA6">
      <w:pPr>
        <w:spacing w:after="0" w:line="240" w:lineRule="auto"/>
        <w:ind w:firstLine="288"/>
        <w:jc w:val="center"/>
        <w:rPr>
          <w:rFonts w:ascii="Simplified Arabic" w:eastAsia="Times New Roman" w:hAnsi="Simplified Arabic" w:cs="PT Bold Heading"/>
          <w:sz w:val="28"/>
          <w:szCs w:val="28"/>
          <w:rtl/>
        </w:rPr>
      </w:pPr>
      <w:r>
        <w:rPr>
          <w:rFonts w:ascii="Simplified Arabic" w:eastAsia="Times New Roman" w:hAnsi="Simplified Arabic" w:cs="Simplified Arabic"/>
          <w:sz w:val="28"/>
          <w:szCs w:val="28"/>
        </w:rPr>
        <w:br w:type="page"/>
      </w:r>
      <w:r w:rsidRPr="000E4EA6">
        <w:rPr>
          <w:rFonts w:ascii="Simplified Arabic" w:eastAsia="Times New Roman" w:hAnsi="Simplified Arabic" w:cs="PT Bold Heading" w:hint="cs"/>
          <w:sz w:val="28"/>
          <w:szCs w:val="28"/>
          <w:rtl/>
        </w:rPr>
        <w:t>الفصل الثاني</w:t>
      </w:r>
    </w:p>
    <w:p w14:paraId="7CEC9D2E" w14:textId="6C042D39" w:rsidR="00C373D3" w:rsidRPr="000E4EA6" w:rsidRDefault="00C373D3" w:rsidP="000E4EA6">
      <w:pPr>
        <w:spacing w:after="0" w:line="240" w:lineRule="auto"/>
        <w:ind w:firstLine="288"/>
        <w:jc w:val="center"/>
        <w:rPr>
          <w:rFonts w:ascii="Simplified Arabic" w:eastAsia="Times New Roman" w:hAnsi="Simplified Arabic" w:cs="PT Bold Heading"/>
          <w:sz w:val="28"/>
          <w:szCs w:val="28"/>
          <w:rtl/>
        </w:rPr>
      </w:pPr>
      <w:r w:rsidRPr="000E4EA6">
        <w:rPr>
          <w:rFonts w:ascii="Simplified Arabic" w:eastAsia="Times New Roman" w:hAnsi="Simplified Arabic" w:cs="PT Bold Heading" w:hint="cs"/>
          <w:sz w:val="28"/>
          <w:szCs w:val="28"/>
          <w:rtl/>
        </w:rPr>
        <w:t>جداول الناخبين</w:t>
      </w:r>
    </w:p>
    <w:p w14:paraId="1C56E5C0" w14:textId="77777777" w:rsidR="00C373D3" w:rsidRDefault="00C373D3" w:rsidP="00C373D3">
      <w:pPr>
        <w:pStyle w:val="Heading2"/>
        <w:spacing w:line="240" w:lineRule="auto"/>
        <w:ind w:firstLine="288"/>
        <w:rPr>
          <w:rFonts w:ascii="Simplified Arabic" w:eastAsia="Times New Roman" w:hAnsi="Simplified Arabic" w:cs="PT Bold Heading"/>
          <w:b w:val="0"/>
          <w:bCs w:val="0"/>
          <w:rtl/>
        </w:rPr>
      </w:pPr>
      <w:r>
        <w:rPr>
          <w:rFonts w:ascii="Simplified Arabic" w:eastAsia="Times New Roman" w:hAnsi="Simplified Arabic" w:cs="PT Bold Heading" w:hint="cs"/>
          <w:b w:val="0"/>
          <w:bCs w:val="0"/>
          <w:rtl/>
        </w:rPr>
        <w:t>المادة السادسة</w:t>
      </w:r>
    </w:p>
    <w:p w14:paraId="4CB8A9ED"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 xml:space="preserve">يُقيد في جداول الناخبين كل مواطن له حق مباشرة الحقوق السياسية. </w:t>
      </w:r>
    </w:p>
    <w:p w14:paraId="635BC542" w14:textId="77777777" w:rsidR="00C373D3" w:rsidRDefault="00C373D3" w:rsidP="00C373D3">
      <w:pPr>
        <w:pStyle w:val="Heading2"/>
        <w:spacing w:line="240" w:lineRule="auto"/>
        <w:ind w:firstLine="288"/>
        <w:rPr>
          <w:rFonts w:ascii="Simplified Arabic" w:eastAsia="Times New Roman" w:hAnsi="Simplified Arabic" w:cs="PT Bold Heading"/>
          <w:b w:val="0"/>
          <w:bCs w:val="0"/>
          <w:rtl/>
        </w:rPr>
      </w:pPr>
      <w:r>
        <w:rPr>
          <w:rFonts w:ascii="Simplified Arabic" w:eastAsia="Times New Roman" w:hAnsi="Simplified Arabic" w:cs="PT Bold Heading" w:hint="cs"/>
          <w:b w:val="0"/>
          <w:bCs w:val="0"/>
          <w:rtl/>
        </w:rPr>
        <w:t>المادة السابعة</w:t>
      </w:r>
    </w:p>
    <w:p w14:paraId="52AB5ED9"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تُشكل في كل منطقة انتخابيــة بقـــرار مـن وزير العـدل والشئـون الإسلامية لجنة تسمى " لجنة الإشراف على سلامة الاستفتاء والانتخاب " تتكون من رئيس من الجهاز القضائي أو القانوني في المملكة وعضوين يتولى أحدهما أمانة السر.</w:t>
      </w:r>
    </w:p>
    <w:p w14:paraId="13629DED"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 xml:space="preserve">وتتولى هذه اللجنة القيام بإعداد جداول الناخبين وتلقى طلبات الترشيح وفحصها وإعداد كشوف المرشحين، والنظر في الطلبات والاعتراضات المتعلقة بأي إجراء أو قرار يصدر عنها، وبوجه عام تختص بالإشراف على سلامة الاستفتاء أو انتخاب أعضاء مجلس النواب في نطاق اختصاصها. </w:t>
      </w:r>
    </w:p>
    <w:p w14:paraId="49514093" w14:textId="77777777" w:rsidR="00C373D3" w:rsidRDefault="00C373D3" w:rsidP="00C373D3">
      <w:pPr>
        <w:pStyle w:val="Heading2"/>
        <w:spacing w:line="240" w:lineRule="auto"/>
        <w:ind w:firstLine="288"/>
        <w:rPr>
          <w:rFonts w:ascii="Simplified Arabic" w:eastAsia="Times New Roman" w:hAnsi="Simplified Arabic" w:cs="PT Bold Heading"/>
          <w:b w:val="0"/>
          <w:bCs w:val="0"/>
          <w:rtl/>
        </w:rPr>
      </w:pPr>
      <w:r>
        <w:rPr>
          <w:rFonts w:ascii="Simplified Arabic" w:eastAsia="Times New Roman" w:hAnsi="Simplified Arabic" w:cs="PT Bold Heading" w:hint="cs"/>
          <w:b w:val="0"/>
          <w:bCs w:val="0"/>
          <w:rtl/>
        </w:rPr>
        <w:t>المادة الثامنة</w:t>
      </w:r>
    </w:p>
    <w:p w14:paraId="4D271913"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يتم إعداد جداول الناخبين للدوائر الانتخابية وفقا للقواعد الآتية:</w:t>
      </w:r>
    </w:p>
    <w:p w14:paraId="6FF9C74A"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 xml:space="preserve">1- أن تكون الجداول بترتيب حروف الهجاء من واقع السجلات والمستندات الرسمية، وذلك بالتنسيق مع إدارة السجل السكاني بالجهاز المركزي للإحصاء. </w:t>
      </w:r>
    </w:p>
    <w:p w14:paraId="5C5F5678"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2- أن تشتمل الجداول على أسماء الناخبين ممن تتوافر فيهم الشروط المنصوص عليها في المادة الثانية من هذا القانون ويراعى في ذلك المشاركة سابقاً في العملية الانتخابية من واقع السجلات، على ألا يكون الناخب محروماً أو معفياً من مباشرة الحقوق السياسية وقت إعداد الجداول أو خلال المدة المحددة لتصحيحها.</w:t>
      </w:r>
    </w:p>
    <w:p w14:paraId="50852BB5"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Pr>
        <w:t xml:space="preserve">     </w:t>
      </w:r>
      <w:r>
        <w:rPr>
          <w:rFonts w:asciiTheme="majorBidi" w:eastAsia="Times New Roman" w:hAnsiTheme="majorBidi" w:cstheme="majorBidi"/>
          <w:sz w:val="28"/>
          <w:szCs w:val="28"/>
          <w:rtl/>
        </w:rPr>
        <w:t>ويكون القيد شاملاً اسم الناخب ورقمه الشخصي ومحل إقامته العادية.</w:t>
      </w:r>
      <w:r>
        <w:rPr>
          <w:rFonts w:asciiTheme="majorBidi" w:eastAsia="Times New Roman" w:hAnsiTheme="majorBidi" w:cstheme="majorBidi"/>
          <w:b/>
          <w:bCs/>
          <w:sz w:val="28"/>
          <w:szCs w:val="28"/>
          <w:vertAlign w:val="superscript"/>
          <w:rtl/>
        </w:rPr>
        <w:t>(</w:t>
      </w:r>
      <w:r>
        <w:rPr>
          <w:rFonts w:asciiTheme="majorBidi" w:hAnsiTheme="majorBidi" w:cstheme="majorBidi"/>
          <w:b/>
          <w:bCs/>
          <w:sz w:val="28"/>
          <w:szCs w:val="28"/>
          <w:vertAlign w:val="superscript"/>
          <w:rtl/>
        </w:rPr>
        <w:footnoteReference w:id="5"/>
      </w:r>
      <w:r>
        <w:rPr>
          <w:rFonts w:asciiTheme="majorBidi" w:eastAsia="Times New Roman" w:hAnsiTheme="majorBidi" w:cstheme="majorBidi"/>
          <w:b/>
          <w:bCs/>
          <w:sz w:val="28"/>
          <w:szCs w:val="28"/>
          <w:vertAlign w:val="superscript"/>
          <w:rtl/>
        </w:rPr>
        <w:t>)</w:t>
      </w:r>
    </w:p>
    <w:p w14:paraId="1FEAB119"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 xml:space="preserve">3- إعداد الجداول لكل دائرة من نسختين يوقع عليهما رئيس اللجنة المنصوص عليها في المادة السابقة وأمين السر بها، وتحتفظ اللجنة بنسخة، وتسلم الثانية إلى وزارة العدل والشئون الإسلامية. </w:t>
      </w:r>
    </w:p>
    <w:p w14:paraId="0998C69B"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 xml:space="preserve">4- تعرض لمدة سبعة أيام في كل دائرة انتخابية أسماء الناخبين بها في المقار والأماكن العامة التي يحددها وزير العدل والشئون الإسلامية وذلك قبل خمسة وأربعين يوما على الأقل من الميعاد المحدد لإجراء الانتخاب. </w:t>
      </w:r>
    </w:p>
    <w:p w14:paraId="4507D677" w14:textId="77777777" w:rsidR="00C373D3" w:rsidRDefault="00C373D3" w:rsidP="00C373D3">
      <w:pPr>
        <w:pStyle w:val="Heading2"/>
        <w:spacing w:line="240" w:lineRule="auto"/>
        <w:ind w:firstLine="288"/>
        <w:rPr>
          <w:rFonts w:ascii="Simplified Arabic" w:eastAsia="Times New Roman" w:hAnsi="Simplified Arabic" w:cs="PT Bold Heading"/>
          <w:b w:val="0"/>
          <w:bCs w:val="0"/>
          <w:rtl/>
        </w:rPr>
      </w:pPr>
      <w:r>
        <w:rPr>
          <w:rFonts w:ascii="Simplified Arabic" w:eastAsia="Times New Roman" w:hAnsi="Simplified Arabic" w:cs="PT Bold Heading" w:hint="cs"/>
          <w:b w:val="0"/>
          <w:bCs w:val="0"/>
          <w:rtl/>
        </w:rPr>
        <w:t>المادة التاسعة</w:t>
      </w:r>
    </w:p>
    <w:p w14:paraId="58BB68DF"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 xml:space="preserve">الموطن الانتخابي هو الجهة التي يقيم فيها الشخص عادة، أو التي كان يقيم فيها هو أو عائلته إذا كان مقيما في الخارج. </w:t>
      </w:r>
    </w:p>
    <w:p w14:paraId="28B32474" w14:textId="77777777" w:rsidR="00C373D3" w:rsidRDefault="00C373D3" w:rsidP="00C373D3">
      <w:pPr>
        <w:pStyle w:val="Heading2"/>
        <w:spacing w:line="240" w:lineRule="auto"/>
        <w:ind w:firstLine="288"/>
        <w:rPr>
          <w:rFonts w:ascii="Simplified Arabic" w:eastAsia="Times New Roman" w:hAnsi="Simplified Arabic" w:cs="PT Bold Heading"/>
          <w:b w:val="0"/>
          <w:bCs w:val="0"/>
          <w:rtl/>
        </w:rPr>
      </w:pPr>
      <w:r>
        <w:rPr>
          <w:rFonts w:ascii="Simplified Arabic" w:eastAsia="Times New Roman" w:hAnsi="Simplified Arabic" w:cs="PT Bold Heading" w:hint="cs"/>
          <w:b w:val="0"/>
          <w:bCs w:val="0"/>
          <w:rtl/>
        </w:rPr>
        <w:t>المادة العاشرة</w:t>
      </w:r>
    </w:p>
    <w:p w14:paraId="7B8A5020"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 xml:space="preserve">لا يجوز أن يقيد الناخب في أكثر من دائرة انتخابية واحدة. </w:t>
      </w:r>
    </w:p>
    <w:p w14:paraId="0430E19A" w14:textId="77777777" w:rsidR="00C373D3" w:rsidRDefault="00C373D3" w:rsidP="00C373D3">
      <w:pPr>
        <w:pStyle w:val="Heading2"/>
        <w:spacing w:line="240" w:lineRule="auto"/>
        <w:ind w:firstLine="288"/>
        <w:rPr>
          <w:rFonts w:ascii="Simplified Arabic" w:eastAsia="Times New Roman" w:hAnsi="Simplified Arabic" w:cs="PT Bold Heading"/>
          <w:b w:val="0"/>
          <w:bCs w:val="0"/>
          <w:rtl/>
        </w:rPr>
      </w:pPr>
      <w:r>
        <w:rPr>
          <w:rFonts w:ascii="Simplified Arabic" w:eastAsia="Times New Roman" w:hAnsi="Simplified Arabic" w:cs="PT Bold Heading" w:hint="cs"/>
          <w:b w:val="0"/>
          <w:bCs w:val="0"/>
          <w:rtl/>
        </w:rPr>
        <w:t>المادة الحادية عشرة</w:t>
      </w:r>
    </w:p>
    <w:p w14:paraId="624B7BBA"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 xml:space="preserve">لا يجوز إدخال أي تعديل على جداول الناخبين بعد الدعوة إلى الاستفتاء أو الانتخاب، إلا فيما يتعلق بتصحيح في الجداول، تنفيذاً للقرارات والأحكام الصادرة في الطعون الخاصة بالقيد فيها، أو بناءً على الإبلاغات بصدور أحكام أو قرارات نهائية تؤدى إلى الحرمان من مباشرة الحقوق السياسية. </w:t>
      </w:r>
    </w:p>
    <w:p w14:paraId="04D683E9" w14:textId="77777777" w:rsidR="00C373D3" w:rsidRDefault="00C373D3" w:rsidP="00C373D3">
      <w:pPr>
        <w:pStyle w:val="Heading2"/>
        <w:spacing w:line="240" w:lineRule="auto"/>
        <w:ind w:firstLine="288"/>
        <w:rPr>
          <w:rFonts w:ascii="Simplified Arabic" w:eastAsia="Times New Roman" w:hAnsi="Simplified Arabic" w:cs="PT Bold Heading"/>
          <w:b w:val="0"/>
          <w:bCs w:val="0"/>
          <w:rtl/>
        </w:rPr>
      </w:pPr>
      <w:r>
        <w:rPr>
          <w:rFonts w:ascii="Simplified Arabic" w:eastAsia="Times New Roman" w:hAnsi="Simplified Arabic" w:cs="PT Bold Heading" w:hint="cs"/>
          <w:b w:val="0"/>
          <w:bCs w:val="0"/>
          <w:rtl/>
        </w:rPr>
        <w:t>المادة الثانية عشرة</w:t>
      </w:r>
    </w:p>
    <w:p w14:paraId="348F465B"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لكل من لم يدرج اسمه في جدول الناخبين أو حدث خطأ في البيانات الخاصة بقيده فيها أن يطلب من لجنة الاشراف على سلامة الاستفتاء والانتخاب المنصوص عليها في المادة السابعة من هذا القانون قيد اسمه أو تصحيح البيانات الخاصة بقيده، ولكل من زالت عنه الموانع بعد تحرير الجدول، أن يطلب إدراج اسمه أو تصحيح البيانات الخاصة بالقيد.</w:t>
      </w:r>
    </w:p>
    <w:p w14:paraId="778ADA2F"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 xml:space="preserve">ولكل ناخب أدرج اسمه في أحد جداول الناخبين، أن يطلب إدراج اسم من أهمل إدراج اسمه بغير وجه حق، أو حذف اسم من أدرج بغير حق، أو تصحيح البيانات الخاصة بالقيد، وذلك بالنسبة لجدول الدائرة الانتخابية المدرج اسم الطالب فيه. </w:t>
      </w:r>
    </w:p>
    <w:p w14:paraId="24E14811"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 xml:space="preserve">ويقدم طلب القيد أو التصحيح خلال مدة عرض الجداول. </w:t>
      </w:r>
    </w:p>
    <w:p w14:paraId="71968BEA"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 xml:space="preserve">وتصدر اللجنة قراراً في الطلب خلال ثلاثة أيام من تاريخ تقديمه إليها، ويعتبر عدم إصدار القرار في هذه المدة قراراً ضمنياً بالرفض، وفي حالة صدور قرار برفض الطلب يكون لصاحب الشأن حق الطعن في هذا القرار أمام محكمة الاستئناف العليا المدنية في موعد أقصاه ثلاثة أيام من تاريخ صدوره، وتفصل المحكمة في تلك الطعون خلال سبعة أيام من تاريخ إقامة الدعوى بحكم نهائي غير قابل للطعن. </w:t>
      </w:r>
    </w:p>
    <w:p w14:paraId="378284BF" w14:textId="77777777" w:rsidR="00C373D3" w:rsidRDefault="00C373D3" w:rsidP="00C373D3">
      <w:pPr>
        <w:pStyle w:val="Heading2"/>
        <w:spacing w:line="240" w:lineRule="auto"/>
        <w:ind w:firstLine="288"/>
        <w:rPr>
          <w:rFonts w:ascii="Simplified Arabic" w:eastAsia="Times New Roman" w:hAnsi="Simplified Arabic" w:cs="PT Bold Heading"/>
          <w:b w:val="0"/>
          <w:bCs w:val="0"/>
          <w:rtl/>
        </w:rPr>
      </w:pPr>
      <w:r>
        <w:rPr>
          <w:rFonts w:ascii="Simplified Arabic" w:eastAsia="Times New Roman" w:hAnsi="Simplified Arabic" w:cs="PT Bold Heading" w:hint="cs"/>
          <w:b w:val="0"/>
          <w:bCs w:val="0"/>
          <w:rtl/>
        </w:rPr>
        <w:t>المادة الثالثة عشرة</w:t>
      </w:r>
    </w:p>
    <w:p w14:paraId="252B6D3A"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 xml:space="preserve">تعدل جداول الناخبين بصفة نهائية وفقا للأحكام أو القرارات النهائية الصادرة بمقتضى المادة السابقة، وتعتبر هذه الجداول النهائية حجة وقت مباشرة أي من الحقوق السياسية. </w:t>
      </w:r>
    </w:p>
    <w:p w14:paraId="0E0A1BBF"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وتحفظ نسخة منها فور صيرورتها نهائية لدى وزارة العدل والشئون الإسلامية تمهيداً لإيداعها بالأمانة العامة لمجلس النواب.</w:t>
      </w:r>
    </w:p>
    <w:p w14:paraId="34D7216A" w14:textId="77777777" w:rsidR="00C373D3" w:rsidRDefault="00C373D3" w:rsidP="00C373D3">
      <w:pPr>
        <w:pStyle w:val="Heading2"/>
        <w:spacing w:line="240" w:lineRule="auto"/>
        <w:ind w:firstLine="288"/>
        <w:rPr>
          <w:rFonts w:ascii="Simplified Arabic" w:eastAsia="Times New Roman" w:hAnsi="Simplified Arabic" w:cs="PT Bold Heading"/>
          <w:b w:val="0"/>
          <w:bCs w:val="0"/>
          <w:rtl/>
        </w:rPr>
      </w:pPr>
      <w:r>
        <w:rPr>
          <w:rFonts w:ascii="Simplified Arabic" w:eastAsia="Times New Roman" w:hAnsi="Simplified Arabic" w:cs="PT Bold Heading" w:hint="cs"/>
          <w:b w:val="0"/>
          <w:bCs w:val="0"/>
          <w:rtl/>
        </w:rPr>
        <w:t>المادة الرابعة عشرة</w:t>
      </w:r>
    </w:p>
    <w:p w14:paraId="3C29ADBC"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 xml:space="preserve">تشكل اللجان المنصوص عليها في المادة السابعة من هذا القانون في كل مرة قبل انتهاء مدة مجلس النواب بوقت كاف. </w:t>
      </w:r>
    </w:p>
    <w:p w14:paraId="25FAD10D"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وتسرى في شأن تشكيل هذه اللجان وإجراءات أعمالها والقرارات الصادرة عنها الأحكام المنصوص عليها في المواد السابقة.</w:t>
      </w:r>
    </w:p>
    <w:p w14:paraId="2232ABB4" w14:textId="77777777" w:rsidR="00C373D3" w:rsidRDefault="00C373D3" w:rsidP="00C373D3">
      <w:pPr>
        <w:ind w:firstLine="288"/>
        <w:jc w:val="both"/>
        <w:rPr>
          <w:rFonts w:ascii="Simplified Arabic" w:eastAsia="Times New Roman" w:hAnsi="Simplified Arabic" w:cs="Simplified Arabic"/>
          <w:sz w:val="28"/>
          <w:szCs w:val="28"/>
          <w:rtl/>
        </w:rPr>
      </w:pPr>
      <w:r>
        <w:rPr>
          <w:rFonts w:ascii="Simplified Arabic" w:eastAsia="Times New Roman" w:hAnsi="Simplified Arabic" w:cs="Simplified Arabic"/>
          <w:b/>
          <w:bCs/>
          <w:rtl/>
        </w:rPr>
        <w:br w:type="page"/>
      </w:r>
    </w:p>
    <w:p w14:paraId="0CF1D2EA" w14:textId="77777777" w:rsidR="00C373D3" w:rsidRDefault="00C373D3" w:rsidP="00C373D3">
      <w:pPr>
        <w:pStyle w:val="Heading2"/>
        <w:spacing w:line="240" w:lineRule="auto"/>
        <w:ind w:firstLine="288"/>
        <w:rPr>
          <w:rFonts w:ascii="Simplified Arabic" w:eastAsia="Times New Roman" w:hAnsi="Simplified Arabic" w:cs="PT Bold Heading"/>
          <w:b w:val="0"/>
          <w:bCs w:val="0"/>
          <w:rtl/>
        </w:rPr>
      </w:pPr>
      <w:r>
        <w:rPr>
          <w:rFonts w:ascii="Simplified Arabic" w:eastAsia="Times New Roman" w:hAnsi="Simplified Arabic" w:cs="PT Bold Heading" w:hint="cs"/>
          <w:b w:val="0"/>
          <w:bCs w:val="0"/>
          <w:rtl/>
        </w:rPr>
        <w:t>الفصل الثالث</w:t>
      </w:r>
    </w:p>
    <w:p w14:paraId="3435092A" w14:textId="77777777" w:rsidR="00C373D3" w:rsidRDefault="00C373D3" w:rsidP="00C373D3">
      <w:pPr>
        <w:pStyle w:val="Heading2"/>
        <w:spacing w:line="240" w:lineRule="auto"/>
        <w:ind w:firstLine="288"/>
        <w:rPr>
          <w:rFonts w:ascii="Simplified Arabic" w:eastAsia="Times New Roman" w:hAnsi="Simplified Arabic" w:cs="PT Bold Heading"/>
          <w:b w:val="0"/>
          <w:bCs w:val="0"/>
          <w:rtl/>
        </w:rPr>
      </w:pPr>
      <w:r>
        <w:rPr>
          <w:rFonts w:ascii="Simplified Arabic" w:eastAsia="Times New Roman" w:hAnsi="Simplified Arabic" w:cs="PT Bold Heading" w:hint="cs"/>
          <w:b w:val="0"/>
          <w:bCs w:val="0"/>
          <w:rtl/>
        </w:rPr>
        <w:t>تنظيم عمليتي الاستفتاء والانتخاب</w:t>
      </w:r>
    </w:p>
    <w:p w14:paraId="71AD65E6" w14:textId="77777777" w:rsidR="00C373D3" w:rsidRDefault="00C373D3" w:rsidP="00C373D3">
      <w:pPr>
        <w:pStyle w:val="Heading2"/>
        <w:spacing w:line="240" w:lineRule="auto"/>
        <w:ind w:firstLine="288"/>
        <w:rPr>
          <w:rFonts w:ascii="Simplified Arabic" w:eastAsia="Times New Roman" w:hAnsi="Simplified Arabic" w:cs="PT Bold Heading"/>
          <w:b w:val="0"/>
          <w:bCs w:val="0"/>
          <w:rtl/>
        </w:rPr>
      </w:pPr>
      <w:r>
        <w:rPr>
          <w:rFonts w:ascii="Simplified Arabic" w:eastAsia="Times New Roman" w:hAnsi="Simplified Arabic" w:cs="PT Bold Heading" w:hint="cs"/>
          <w:b w:val="0"/>
          <w:bCs w:val="0"/>
          <w:rtl/>
        </w:rPr>
        <w:t>المادة الخامسة عشرة</w:t>
      </w:r>
    </w:p>
    <w:p w14:paraId="242B1A00"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 xml:space="preserve">يحدد ميعاد الانتخابات العامة لمجلس النواب بأمر ملكي، ويكون إصدار الأمر قبل التاريخ المحدد لإجراء الانتخابات بخمسة وأربعين يوماً على الأقل. </w:t>
      </w:r>
    </w:p>
    <w:p w14:paraId="249125C7"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ويحدد ميعاد الانتخابات التكميلية بقرار من وزير العدل والشئون الإسلامية، ويكون إصدار القرار قبل التاريخ المحدد لإجراء الانتخابات بثلاثين يوما على الأقل.</w:t>
      </w:r>
    </w:p>
    <w:p w14:paraId="6F630A79"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 xml:space="preserve">ويجب أن يتضمن الأمر أو القرار تاريخ فتح باب الترشيح وتاريخ قفله. </w:t>
      </w:r>
    </w:p>
    <w:p w14:paraId="4595B33A"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 xml:space="preserve">وفي أحوال الاستفتاء يجب أن يحدد الأمر الملكي موضوع الاستفتاء والتاريخ المعين له. </w:t>
      </w:r>
    </w:p>
    <w:p w14:paraId="1B0987DF" w14:textId="77777777" w:rsidR="00C373D3" w:rsidRDefault="00C373D3" w:rsidP="00C373D3">
      <w:pPr>
        <w:pStyle w:val="Heading2"/>
        <w:spacing w:line="240" w:lineRule="auto"/>
        <w:ind w:firstLine="288"/>
        <w:rPr>
          <w:rFonts w:ascii="Simplified Arabic" w:eastAsia="Times New Roman" w:hAnsi="Simplified Arabic" w:cs="PT Bold Heading"/>
          <w:b w:val="0"/>
          <w:bCs w:val="0"/>
          <w:rtl/>
        </w:rPr>
      </w:pPr>
      <w:r>
        <w:rPr>
          <w:rFonts w:ascii="Simplified Arabic" w:eastAsia="Times New Roman" w:hAnsi="Simplified Arabic" w:cs="PT Bold Heading" w:hint="cs"/>
          <w:b w:val="0"/>
          <w:bCs w:val="0"/>
          <w:rtl/>
        </w:rPr>
        <w:t>المادة السادسة عشرة</w:t>
      </w:r>
    </w:p>
    <w:p w14:paraId="57AE3AA5"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 xml:space="preserve">يعلن الأمر الملكي أو القرار الوزاري بدعوة الناخبين إلى الاستفتاء أو الانتخاب بنشره في الجريدة الرسمية. </w:t>
      </w:r>
    </w:p>
    <w:p w14:paraId="520CB477" w14:textId="77777777" w:rsidR="00C373D3" w:rsidRDefault="00C373D3" w:rsidP="00C373D3">
      <w:pPr>
        <w:pStyle w:val="Heading2"/>
        <w:spacing w:line="240" w:lineRule="auto"/>
        <w:ind w:firstLine="288"/>
        <w:rPr>
          <w:rFonts w:ascii="Simplified Arabic" w:eastAsia="Times New Roman" w:hAnsi="Simplified Arabic" w:cs="PT Bold Heading"/>
          <w:b w:val="0"/>
          <w:bCs w:val="0"/>
          <w:rtl/>
        </w:rPr>
      </w:pPr>
      <w:r>
        <w:rPr>
          <w:rFonts w:ascii="Simplified Arabic" w:eastAsia="Times New Roman" w:hAnsi="Simplified Arabic" w:cs="PT Bold Heading" w:hint="cs"/>
          <w:b w:val="0"/>
          <w:bCs w:val="0"/>
          <w:rtl/>
        </w:rPr>
        <w:t>المادة السابعة عشرة</w:t>
      </w:r>
    </w:p>
    <w:p w14:paraId="4C7421FB"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 xml:space="preserve">تقسم مملكة البحرين في تطبيق أحكام هذا القانون إلى عدد من المناطق الانتخابية تشتمل كل منها على عدد من الدوائر الانتخابية. وينتخب عن كل دائرة انتخابية عضو واحد. </w:t>
      </w:r>
    </w:p>
    <w:p w14:paraId="1E48717A"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 xml:space="preserve">ويصدر مرسوم بتحديد المناطق والدوائر الانتخابية وحدودها، وعدد اللجان الفرعية اللازمة لمباشرة عمليتي الاقتراع والفرز. </w:t>
      </w:r>
    </w:p>
    <w:p w14:paraId="5C36203F"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 xml:space="preserve">وتشكل كل من اللجان المشار إليها من رئيس يختار من بين أعضاء الجهاز القضائي أو القانونيين العاملين في وزارات الدولة والهيئات والمؤسسات العامة وعضوين يتولى أحدهما أمانة سر اللجنة. ويصدر بتعيين رؤساء وأعضاء اللجان وتحديد مقارها قرار من وزير العدل والشئون الإسلامية. </w:t>
      </w:r>
    </w:p>
    <w:p w14:paraId="2380034E"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 xml:space="preserve">ويحدد هذا القرار من يحل محل الرئيس عند غيابه أو قيام مانع يمنعه من العمل، ممن تتوافر فيه شروط الرئيس. </w:t>
      </w:r>
    </w:p>
    <w:p w14:paraId="010B88D4"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ويعاون هذه اللجان عدد من الموظفين يعينهم المدير التنفيذي للانتخابات حسب احتياجات كل لجنة.</w:t>
      </w:r>
    </w:p>
    <w:p w14:paraId="328CD70D" w14:textId="77777777" w:rsidR="00C373D3" w:rsidRDefault="00C373D3" w:rsidP="00C373D3">
      <w:pPr>
        <w:bidi/>
        <w:spacing w:after="0" w:line="360" w:lineRule="auto"/>
        <w:ind w:firstLine="288"/>
        <w:jc w:val="lowKashida"/>
        <w:rPr>
          <w:rFonts w:ascii="Simplified Arabic" w:eastAsia="Times New Roman" w:hAnsi="Simplified Arabic" w:cs="Simplified Arabic"/>
          <w:b/>
          <w:bCs/>
          <w:rtl/>
        </w:rPr>
      </w:pPr>
      <w:r>
        <w:rPr>
          <w:rFonts w:asciiTheme="majorBidi" w:eastAsia="Times New Roman" w:hAnsiTheme="majorBidi" w:cstheme="majorBidi"/>
          <w:sz w:val="28"/>
          <w:szCs w:val="28"/>
          <w:rtl/>
        </w:rPr>
        <w:t>ولكل مرشح أن يختار ناخباً من المقيدين في جدول انتخاب الدائرة المرشح فيها وكيلا له لدى اللجنة الفرعية. وعلى المرشح أن يقدم اسم وكيله المذكور إلى وزارة العدل والشئون الإسلامية قبل موعد الانتخاب بسبعة أيام على الأقل.</w:t>
      </w:r>
      <w:r>
        <w:rPr>
          <w:rFonts w:ascii="Simplified Arabic" w:eastAsia="Times New Roman" w:hAnsi="Simplified Arabic" w:cs="Simplified Arabic"/>
          <w:rtl/>
        </w:rPr>
        <w:t xml:space="preserve"> </w:t>
      </w:r>
    </w:p>
    <w:p w14:paraId="6022E3BD" w14:textId="77777777" w:rsidR="00C373D3" w:rsidRDefault="00C373D3" w:rsidP="00C373D3">
      <w:pPr>
        <w:pStyle w:val="Heading2"/>
        <w:spacing w:line="240" w:lineRule="auto"/>
        <w:ind w:firstLine="288"/>
        <w:rPr>
          <w:rFonts w:ascii="Simplified Arabic" w:eastAsia="Times New Roman" w:hAnsi="Simplified Arabic" w:cs="PT Bold Heading"/>
          <w:b w:val="0"/>
          <w:bCs w:val="0"/>
          <w:rtl/>
        </w:rPr>
      </w:pPr>
      <w:r>
        <w:rPr>
          <w:rFonts w:ascii="Simplified Arabic" w:eastAsia="Times New Roman" w:hAnsi="Simplified Arabic" w:cs="PT Bold Heading" w:hint="cs"/>
          <w:b w:val="0"/>
          <w:bCs w:val="0"/>
          <w:rtl/>
        </w:rPr>
        <w:t>المادة الثامنة عشرة</w:t>
      </w:r>
    </w:p>
    <w:p w14:paraId="3587C315"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يرأس وزير العدل والشئون الإسلامية لجنة عليا للإشراف العام على سلامة الاستفتاء وانتخاب أعضاء مجلس النواب في أنحاء المملكة والبت في جميع الأمور التي تعرضها عليها اللجان المنصوص عليها في المادة السابعة من هذا القانون، وتشمل اللجنة العليا في عضويتها عدداً كافياً من القضاة والمستشارين يصدر بتسميتهم قرار من وزير العدل والشئون الإسلامية.</w:t>
      </w:r>
    </w:p>
    <w:p w14:paraId="3453D0B3"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 xml:space="preserve">ويعاون اللجنة العليا، الجهاز المركزي للإحصاء الذي يتولى القيام بأعمال التحضير والإعداد للاستفتاء والانتخاب والترشيح والإشراف على جميع الأعمال التقنية اللازمة لذلك. </w:t>
      </w:r>
    </w:p>
    <w:p w14:paraId="0E7A353A" w14:textId="77777777" w:rsidR="00C373D3" w:rsidRDefault="00C373D3" w:rsidP="00C373D3">
      <w:pPr>
        <w:pStyle w:val="Heading2"/>
        <w:spacing w:line="240" w:lineRule="auto"/>
        <w:ind w:firstLine="288"/>
        <w:rPr>
          <w:rFonts w:ascii="Simplified Arabic" w:eastAsia="Times New Roman" w:hAnsi="Simplified Arabic" w:cs="PT Bold Heading"/>
          <w:b w:val="0"/>
          <w:bCs w:val="0"/>
          <w:rtl/>
        </w:rPr>
      </w:pPr>
      <w:r>
        <w:rPr>
          <w:rFonts w:ascii="Simplified Arabic" w:eastAsia="Times New Roman" w:hAnsi="Simplified Arabic" w:cs="PT Bold Heading" w:hint="cs"/>
          <w:b w:val="0"/>
          <w:bCs w:val="0"/>
          <w:rtl/>
        </w:rPr>
        <w:t>المادة التاسعة عشرة</w:t>
      </w:r>
    </w:p>
    <w:p w14:paraId="0158AF84"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 xml:space="preserve">حفظ النظام في مقار اللجان المنصوص عليها في هذا القانون منوط برئيس اللجنة، وله أن يستعين بقوات الأمن العام. ولا يجوز لهؤلاء دخول قاعات اللجان المشار إليها إلا بناءً على طلب رئيس اللجنة. </w:t>
      </w:r>
    </w:p>
    <w:p w14:paraId="42520C55"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 xml:space="preserve">ويجوز للمرشحين أو وكلائهم دخول قاعات اللجان الفرعية. </w:t>
      </w:r>
    </w:p>
    <w:p w14:paraId="60AFE741" w14:textId="77777777" w:rsidR="00C373D3" w:rsidRDefault="00C373D3" w:rsidP="00C373D3">
      <w:pPr>
        <w:pStyle w:val="Heading2"/>
        <w:spacing w:line="240" w:lineRule="auto"/>
        <w:ind w:firstLine="288"/>
        <w:rPr>
          <w:rFonts w:ascii="Simplified Arabic" w:eastAsia="Times New Roman" w:hAnsi="Simplified Arabic" w:cs="PT Bold Heading"/>
          <w:b w:val="0"/>
          <w:bCs w:val="0"/>
          <w:rtl/>
        </w:rPr>
      </w:pPr>
      <w:r>
        <w:rPr>
          <w:rFonts w:ascii="Simplified Arabic" w:eastAsia="Times New Roman" w:hAnsi="Simplified Arabic" w:cs="PT Bold Heading" w:hint="cs"/>
          <w:b w:val="0"/>
          <w:bCs w:val="0"/>
          <w:rtl/>
        </w:rPr>
        <w:t>المادة العشرون</w:t>
      </w:r>
    </w:p>
    <w:p w14:paraId="57478DC4"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 xml:space="preserve">يتولى أمين سر اللجنة تحرير المحاضر وتدوين قرارات اللجنة. وتوقع هذه المحاضر من رئيس اللجنة وأمين السر بها. </w:t>
      </w:r>
    </w:p>
    <w:p w14:paraId="6F167A48" w14:textId="77777777" w:rsidR="00C373D3" w:rsidRDefault="00C373D3" w:rsidP="00C373D3">
      <w:pPr>
        <w:pStyle w:val="Heading2"/>
        <w:spacing w:line="240" w:lineRule="auto"/>
        <w:ind w:firstLine="288"/>
        <w:rPr>
          <w:rFonts w:ascii="Simplified Arabic" w:eastAsia="Times New Roman" w:hAnsi="Simplified Arabic" w:cs="PT Bold Heading"/>
          <w:b w:val="0"/>
          <w:bCs w:val="0"/>
          <w:rtl/>
        </w:rPr>
      </w:pPr>
      <w:r>
        <w:rPr>
          <w:rFonts w:ascii="Simplified Arabic" w:eastAsia="Times New Roman" w:hAnsi="Simplified Arabic" w:cs="PT Bold Heading" w:hint="cs"/>
          <w:b w:val="0"/>
          <w:bCs w:val="0"/>
          <w:rtl/>
        </w:rPr>
        <w:t>المادة الحادية والعشرون</w:t>
      </w:r>
      <w:r>
        <w:rPr>
          <w:rFonts w:ascii="Simplified Arabic" w:eastAsia="Times New Roman" w:hAnsi="Simplified Arabic" w:cs="PT Bold Heading" w:hint="cs"/>
          <w:vertAlign w:val="superscript"/>
          <w:rtl/>
        </w:rPr>
        <w:t>(</w:t>
      </w:r>
      <w:r>
        <w:rPr>
          <w:rStyle w:val="FootnoteReference"/>
          <w:rFonts w:ascii="Simplified Arabic" w:eastAsia="Times New Roman" w:hAnsi="Simplified Arabic" w:cs="PT Bold Heading"/>
          <w:rtl/>
        </w:rPr>
        <w:footnoteReference w:id="6"/>
      </w:r>
      <w:r>
        <w:rPr>
          <w:rFonts w:ascii="Simplified Arabic" w:eastAsia="Times New Roman" w:hAnsi="Simplified Arabic" w:cs="PT Bold Heading" w:hint="cs"/>
          <w:vertAlign w:val="superscript"/>
          <w:rtl/>
        </w:rPr>
        <w:t>)</w:t>
      </w:r>
    </w:p>
    <w:p w14:paraId="4C5E1371"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تستمر عملية الاستفتاء أو الانتخاب من الساعة الثامنة صباحاً إلى الساعة الثامنة مساء. ومع ذلك إذا تبين وجود ناخبين في مقر اللجنة الفرعية لم يعطوا أصواتهم ويرغبون في إعطائها يستمر التصويت بالنسبة إليهم دون غيرهم، وإذا أعطى جميع الناخبين المقيدين في الجدول أصواتهم قبل انتهاء الوقت المقرر للاستفتاء أو الانتخاب، أعلن الرئيس انتهاء عملية التصويت بعد إعطاء الناخب الأخير صوته.</w:t>
      </w:r>
    </w:p>
    <w:p w14:paraId="501CB67C" w14:textId="77777777" w:rsidR="00C373D3" w:rsidRDefault="00C373D3" w:rsidP="00C373D3">
      <w:pPr>
        <w:pStyle w:val="Heading2"/>
        <w:spacing w:line="240" w:lineRule="auto"/>
        <w:ind w:firstLine="288"/>
        <w:rPr>
          <w:rFonts w:ascii="Simplified Arabic" w:eastAsia="Times New Roman" w:hAnsi="Simplified Arabic" w:cs="PT Bold Heading"/>
          <w:b w:val="0"/>
          <w:bCs w:val="0"/>
        </w:rPr>
      </w:pPr>
      <w:r>
        <w:rPr>
          <w:rFonts w:ascii="Simplified Arabic" w:eastAsia="Times New Roman" w:hAnsi="Simplified Arabic" w:cs="PT Bold Heading" w:hint="cs"/>
          <w:b w:val="0"/>
          <w:bCs w:val="0"/>
          <w:rtl/>
        </w:rPr>
        <w:t>المادة الثانية والعشرون</w:t>
      </w:r>
      <w:r>
        <w:rPr>
          <w:rFonts w:ascii="Simplified Arabic" w:eastAsia="Times New Roman" w:hAnsi="Simplified Arabic" w:cs="PT Bold Heading" w:hint="cs"/>
          <w:vertAlign w:val="superscript"/>
          <w:rtl/>
        </w:rPr>
        <w:t>(</w:t>
      </w:r>
      <w:r>
        <w:rPr>
          <w:rStyle w:val="FootnoteReference"/>
          <w:rFonts w:ascii="Simplified Arabic" w:eastAsia="Times New Roman" w:hAnsi="Simplified Arabic" w:cs="PT Bold Heading"/>
          <w:rtl/>
        </w:rPr>
        <w:footnoteReference w:id="7"/>
      </w:r>
      <w:r>
        <w:rPr>
          <w:rFonts w:ascii="Simplified Arabic" w:eastAsia="Times New Roman" w:hAnsi="Simplified Arabic" w:cs="PT Bold Heading" w:hint="cs"/>
          <w:vertAlign w:val="superscript"/>
          <w:rtl/>
        </w:rPr>
        <w:t>)</w:t>
      </w:r>
    </w:p>
    <w:p w14:paraId="7891841E"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على كل ناخب أن يقدم إلى اللجنة الفرعية عند الإدلاء بصوته ما يثبت شخصيته بتقديم جواز السفر أو أي مستند رسمي معتمد.</w:t>
      </w:r>
    </w:p>
    <w:p w14:paraId="01866146"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ويؤشر في جدول الناخبـين يدوياً أو إلكترونياً بما يفيد إدلاء الناخب بصوته، أو أية وسيلة أخرى تفيد الإدلاء بصوته يقرها رئيس اللجنة العليا المنصوص عليها في المادة الثامنة عشرة من هذا القانون.</w:t>
      </w:r>
    </w:p>
    <w:p w14:paraId="1B4E5CF9" w14:textId="77777777" w:rsidR="00C373D3" w:rsidRDefault="00C373D3" w:rsidP="00C373D3">
      <w:pPr>
        <w:pStyle w:val="Heading2"/>
        <w:spacing w:line="240" w:lineRule="auto"/>
        <w:ind w:firstLine="288"/>
        <w:rPr>
          <w:rFonts w:ascii="Simplified Arabic" w:eastAsia="Times New Roman" w:hAnsi="Simplified Arabic" w:cs="PT Bold Heading"/>
          <w:b w:val="0"/>
          <w:bCs w:val="0"/>
          <w:rtl/>
        </w:rPr>
      </w:pPr>
      <w:r>
        <w:rPr>
          <w:rFonts w:ascii="Simplified Arabic" w:eastAsia="Times New Roman" w:hAnsi="Simplified Arabic" w:cs="PT Bold Heading" w:hint="cs"/>
          <w:b w:val="0"/>
          <w:bCs w:val="0"/>
          <w:rtl/>
        </w:rPr>
        <w:t>المادة الثالثة والعشرون</w:t>
      </w:r>
    </w:p>
    <w:p w14:paraId="28518C2F"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 xml:space="preserve">يجرى الاستفتاء والانتخاب بالاقتراع العام السري المباشر، ويكون إبداء الرأي في الاستفتاء أو الانتخاب بالتأشير على البطاقة المعدة لذلك، وفي المكان المخصص للاقتراع. </w:t>
      </w:r>
    </w:p>
    <w:p w14:paraId="5B7BB03E"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ولا يجوز للناخب أن يدلي برأيه أكثر من مرة في الاستفتاء أو الانتخاب الواحد.</w:t>
      </w:r>
    </w:p>
    <w:p w14:paraId="33250F75"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ويبدى من لا يعرف القراءة أو الكتابة من الناخبين أو من كان من المكفوفين أو من غيرهم من ذوي الاحتياجات الخاصة الذين لا يستطيعون بأنفسهم أن يثبتوا آراءهم على ورقة الاستفتاء أو الانتخاب، رأيه شفاهة، ويثبت رئيس اللجنة بحضور أحد عضويها رأي الناخب في البطاقة المعدة لذلك، ويتم وضعها في الصندوق.</w:t>
      </w:r>
    </w:p>
    <w:p w14:paraId="2FCEBDE4" w14:textId="77777777" w:rsidR="00C373D3" w:rsidRDefault="00C373D3" w:rsidP="00C373D3">
      <w:pPr>
        <w:pStyle w:val="Heading2"/>
        <w:spacing w:line="240" w:lineRule="auto"/>
        <w:ind w:firstLine="288"/>
        <w:rPr>
          <w:rFonts w:ascii="Simplified Arabic" w:eastAsia="Times New Roman" w:hAnsi="Simplified Arabic" w:cs="PT Bold Heading"/>
          <w:b w:val="0"/>
          <w:bCs w:val="0"/>
          <w:rtl/>
        </w:rPr>
      </w:pPr>
      <w:r>
        <w:rPr>
          <w:rFonts w:ascii="Simplified Arabic" w:eastAsia="Times New Roman" w:hAnsi="Simplified Arabic" w:cs="PT Bold Heading" w:hint="cs"/>
          <w:b w:val="0"/>
          <w:bCs w:val="0"/>
          <w:rtl/>
        </w:rPr>
        <w:t>المادة الرابعة والعشرون</w:t>
      </w:r>
    </w:p>
    <w:p w14:paraId="2957AB1F"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 xml:space="preserve">بعد انتهاء الوقت المحدد للاستفتاء أو الانتخاب يعلن رئيس كل لجنة فرعية انتهاء عملية التصويت بعد التأكد من إدلاء جميع الناخبين الموجودين في مقر اللجنة بأصواتهم حتى ذلك الوقت، ويتم إثبات ذلك في محضر يوقع عليه رئيس اللجنة وأمين السر بها، لتبدأ بعد ذلك اللجنة الفرعية عملية فرز الأصوات. </w:t>
      </w:r>
    </w:p>
    <w:p w14:paraId="234C8F31"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ويجوز لكل مرشح أو وكيله لدى اللجنة أن يحضر عملية الفرز فيما عدا مداولات اللجنة.</w:t>
      </w:r>
    </w:p>
    <w:p w14:paraId="4B1E16DA" w14:textId="77777777" w:rsidR="00C373D3" w:rsidRDefault="00C373D3" w:rsidP="00C373D3">
      <w:pPr>
        <w:pStyle w:val="Heading2"/>
        <w:spacing w:line="240" w:lineRule="auto"/>
        <w:ind w:firstLine="288"/>
        <w:rPr>
          <w:rFonts w:ascii="Simplified Arabic" w:eastAsia="Times New Roman" w:hAnsi="Simplified Arabic" w:cs="PT Bold Heading"/>
          <w:b w:val="0"/>
          <w:bCs w:val="0"/>
          <w:rtl/>
        </w:rPr>
      </w:pPr>
      <w:r>
        <w:rPr>
          <w:rFonts w:ascii="Simplified Arabic" w:eastAsia="Times New Roman" w:hAnsi="Simplified Arabic" w:cs="PT Bold Heading" w:hint="cs"/>
          <w:b w:val="0"/>
          <w:bCs w:val="0"/>
          <w:rtl/>
        </w:rPr>
        <w:t>المادة الخامسة والعشرون</w:t>
      </w:r>
    </w:p>
    <w:p w14:paraId="5C5F910B"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لكل مواطن مقيد في أحد جداول الانتخاب وتواجد خارج مملكة البحرين أن يبدى رأيه في الاستفتاء والانتخاب بالطريقة العادية أو بالوسائل الالكترونية، وذلك وفقا للإجراءات التي يصدر بها قرار من وزير العدل والشئون الاسلامية.</w:t>
      </w:r>
    </w:p>
    <w:p w14:paraId="594C49C2" w14:textId="77777777" w:rsidR="00C373D3" w:rsidRDefault="00C373D3" w:rsidP="00C373D3">
      <w:pPr>
        <w:pStyle w:val="Heading2"/>
        <w:spacing w:line="240" w:lineRule="auto"/>
        <w:ind w:firstLine="288"/>
        <w:rPr>
          <w:rFonts w:ascii="Simplified Arabic" w:eastAsia="Times New Roman" w:hAnsi="Simplified Arabic" w:cs="PT Bold Heading"/>
          <w:b w:val="0"/>
          <w:bCs w:val="0"/>
          <w:rtl/>
        </w:rPr>
      </w:pPr>
      <w:r>
        <w:rPr>
          <w:rFonts w:ascii="Simplified Arabic" w:eastAsia="Times New Roman" w:hAnsi="Simplified Arabic" w:cs="PT Bold Heading" w:hint="cs"/>
          <w:b w:val="0"/>
          <w:bCs w:val="0"/>
          <w:rtl/>
        </w:rPr>
        <w:t>المادة السادسة والعشرون</w:t>
      </w:r>
    </w:p>
    <w:p w14:paraId="5EB66D7E"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 xml:space="preserve">تعتبر باطلة جميع الأصوات المعلقة على شرط، أو التي تعطى لعدد أكثر من العدد المطلوب انتخابه، أو المثبتة على غير البطاقة المعدة لذلك، أو التي تحمل أية علامة تشير إلى شخصية الناخب أو تدل عليه. </w:t>
      </w:r>
    </w:p>
    <w:p w14:paraId="179368B2" w14:textId="77777777" w:rsidR="00C373D3" w:rsidRDefault="00C373D3" w:rsidP="00C373D3">
      <w:pPr>
        <w:pStyle w:val="Heading2"/>
        <w:spacing w:line="240" w:lineRule="auto"/>
        <w:ind w:firstLine="288"/>
        <w:rPr>
          <w:rFonts w:ascii="Simplified Arabic" w:eastAsia="Times New Roman" w:hAnsi="Simplified Arabic" w:cs="PT Bold Heading"/>
          <w:b w:val="0"/>
          <w:bCs w:val="0"/>
          <w:rtl/>
        </w:rPr>
      </w:pPr>
      <w:r>
        <w:rPr>
          <w:rFonts w:ascii="Simplified Arabic" w:eastAsia="Times New Roman" w:hAnsi="Simplified Arabic" w:cs="PT Bold Heading" w:hint="cs"/>
          <w:b w:val="0"/>
          <w:bCs w:val="0"/>
          <w:rtl/>
        </w:rPr>
        <w:t>المادة السابعة والعشرون</w:t>
      </w:r>
    </w:p>
    <w:p w14:paraId="0D243A0D"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 xml:space="preserve">تفصل اللجنة الفرعية في جميع المسائل التي تتعلق بعملية الاستفتاء أو الانتخاب، وفي صحة أو بطلان إدلاء أي ناخب لصوته. </w:t>
      </w:r>
    </w:p>
    <w:p w14:paraId="41D3BFD7"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 xml:space="preserve">وتكون مداولات اللجنة سرية لا يحضرها سوى رئيس اللجنة وعضويها، وتصدر القرارات بالأغلبية المطلقة. </w:t>
      </w:r>
    </w:p>
    <w:p w14:paraId="73738101"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وتدون القرارات في محضر اللجنة، وتكون مسببة، ويوقع عليها رئيس اللجنة وأمين السر بها.</w:t>
      </w:r>
    </w:p>
    <w:p w14:paraId="312904C4" w14:textId="77777777" w:rsidR="00C373D3" w:rsidRDefault="00C373D3" w:rsidP="00C373D3">
      <w:pPr>
        <w:pStyle w:val="Heading2"/>
        <w:spacing w:line="240" w:lineRule="auto"/>
        <w:ind w:firstLine="288"/>
        <w:rPr>
          <w:rFonts w:ascii="Simplified Arabic" w:eastAsia="Times New Roman" w:hAnsi="Simplified Arabic" w:cs="PT Bold Heading"/>
          <w:b w:val="0"/>
          <w:bCs w:val="0"/>
          <w:rtl/>
        </w:rPr>
      </w:pPr>
      <w:r>
        <w:rPr>
          <w:rFonts w:ascii="Simplified Arabic" w:eastAsia="Times New Roman" w:hAnsi="Simplified Arabic" w:cs="PT Bold Heading" w:hint="cs"/>
          <w:b w:val="0"/>
          <w:bCs w:val="0"/>
          <w:rtl/>
        </w:rPr>
        <w:t>المادة الثامنة والعشرون</w:t>
      </w:r>
      <w:r>
        <w:rPr>
          <w:rFonts w:ascii="Simplified Arabic" w:eastAsia="Times New Roman" w:hAnsi="Simplified Arabic" w:cs="PT Bold Heading" w:hint="cs"/>
          <w:vertAlign w:val="superscript"/>
          <w:rtl/>
        </w:rPr>
        <w:t>(</w:t>
      </w:r>
      <w:r>
        <w:rPr>
          <w:rStyle w:val="FootnoteReference"/>
          <w:rFonts w:ascii="Simplified Arabic" w:eastAsia="Times New Roman" w:hAnsi="Simplified Arabic" w:cs="PT Bold Heading"/>
          <w:rtl/>
        </w:rPr>
        <w:footnoteReference w:id="8"/>
      </w:r>
      <w:r>
        <w:rPr>
          <w:rFonts w:ascii="Simplified Arabic" w:eastAsia="Times New Roman" w:hAnsi="Simplified Arabic" w:cs="PT Bold Heading" w:hint="cs"/>
          <w:vertAlign w:val="superscript"/>
          <w:rtl/>
        </w:rPr>
        <w:t>)</w:t>
      </w:r>
    </w:p>
    <w:p w14:paraId="0DA8A15B"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يعلن رئيس اللجنة المنصوص عليها في المادة السابعة من هذا القانون في كل منطقة انتخابية نتيجة انتخاب أعضاء مجلس النواب في جميع الدوائر الانتخابية التابعة لمنطقته، وعدد ما حصل عليه كل مرشح من أصوات في دائرته، وذلك بعد وصول جميع محاضر لجان الاقتراع والفرز والأوراق الانتخابية من مختلف اللجان الفرعية في المنطقة، وترسل نسخة من هذه النتيجة مع جميع المحاضر والأوراق الانتخابية إلى اللجنة العليا المنصوص عليها في المادة الثامنة عشرة من هذا القانون، التي تتولى الإعلان النهائي للنتيجة العامة لانتخاب أعضاء مجلس النواب، وإخطار الفائزين بالعضوية.</w:t>
      </w:r>
    </w:p>
    <w:p w14:paraId="1942E4D8"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وتسلم الأمانة العامة لمجلس النواب عقب إعلان نتيجة الانتخاب كل عضو من الأعضاء الفائزين شهادة بعضويته في مجلس النواب.</w:t>
      </w:r>
    </w:p>
    <w:p w14:paraId="36520291" w14:textId="77777777" w:rsidR="00C373D3" w:rsidRDefault="00C373D3" w:rsidP="00C373D3">
      <w:pPr>
        <w:pStyle w:val="Heading2"/>
        <w:spacing w:line="240" w:lineRule="auto"/>
        <w:ind w:firstLine="288"/>
        <w:rPr>
          <w:rFonts w:ascii="Simplified Arabic" w:eastAsia="Times New Roman" w:hAnsi="Simplified Arabic" w:cs="PT Bold Heading"/>
          <w:b w:val="0"/>
          <w:bCs w:val="0"/>
          <w:rtl/>
        </w:rPr>
      </w:pPr>
      <w:r>
        <w:rPr>
          <w:rFonts w:ascii="Simplified Arabic" w:eastAsia="Times New Roman" w:hAnsi="Simplified Arabic" w:cs="PT Bold Heading" w:hint="cs"/>
          <w:b w:val="0"/>
          <w:bCs w:val="0"/>
          <w:rtl/>
        </w:rPr>
        <w:t>المادة التاسعة والعشرون</w:t>
      </w:r>
    </w:p>
    <w:p w14:paraId="03395530"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يعلن رئيس اللجنة العليا المنصوص عليها في المادة الثامنة عشرة نتيجة الاستفتاء وذلك بعد استلامه لجميع محاضر اللجان الفرعية.</w:t>
      </w:r>
    </w:p>
    <w:p w14:paraId="4985C41D" w14:textId="77777777" w:rsidR="00C373D3" w:rsidRDefault="00C373D3" w:rsidP="00C373D3">
      <w:pPr>
        <w:ind w:firstLine="288"/>
        <w:jc w:val="both"/>
        <w:rPr>
          <w:rFonts w:ascii="Simplified Arabic" w:eastAsia="Times New Roman" w:hAnsi="Simplified Arabic" w:cs="Simplified Arabic"/>
          <w:sz w:val="28"/>
          <w:szCs w:val="28"/>
          <w:rtl/>
        </w:rPr>
      </w:pPr>
      <w:r>
        <w:rPr>
          <w:rFonts w:ascii="Simplified Arabic" w:eastAsia="Times New Roman" w:hAnsi="Simplified Arabic" w:cs="Simplified Arabic"/>
          <w:b/>
          <w:bCs/>
          <w:rtl/>
        </w:rPr>
        <w:br w:type="page"/>
      </w:r>
    </w:p>
    <w:p w14:paraId="2BC176CA" w14:textId="77777777" w:rsidR="00C373D3" w:rsidRDefault="00C373D3" w:rsidP="00C373D3">
      <w:pPr>
        <w:pStyle w:val="Heading2"/>
        <w:spacing w:line="240" w:lineRule="auto"/>
        <w:ind w:firstLine="288"/>
        <w:rPr>
          <w:rFonts w:ascii="Simplified Arabic" w:eastAsia="Times New Roman" w:hAnsi="Simplified Arabic" w:cs="PT Bold Heading"/>
          <w:b w:val="0"/>
          <w:bCs w:val="0"/>
          <w:rtl/>
        </w:rPr>
      </w:pPr>
      <w:r>
        <w:rPr>
          <w:rFonts w:ascii="Simplified Arabic" w:eastAsia="Times New Roman" w:hAnsi="Simplified Arabic" w:cs="PT Bold Heading" w:hint="cs"/>
          <w:b w:val="0"/>
          <w:bCs w:val="0"/>
          <w:rtl/>
        </w:rPr>
        <w:t>الفصل الرابع</w:t>
      </w:r>
    </w:p>
    <w:p w14:paraId="37F6DD3A" w14:textId="77777777" w:rsidR="00C373D3" w:rsidRDefault="00C373D3" w:rsidP="00C373D3">
      <w:pPr>
        <w:pStyle w:val="Heading2"/>
        <w:spacing w:line="240" w:lineRule="auto"/>
        <w:ind w:firstLine="288"/>
        <w:rPr>
          <w:rFonts w:ascii="Simplified Arabic" w:eastAsia="Times New Roman" w:hAnsi="Simplified Arabic" w:cs="PT Bold Heading"/>
          <w:b w:val="0"/>
          <w:bCs w:val="0"/>
          <w:rtl/>
        </w:rPr>
      </w:pPr>
      <w:r>
        <w:rPr>
          <w:rFonts w:ascii="Simplified Arabic" w:eastAsia="Times New Roman" w:hAnsi="Simplified Arabic" w:cs="PT Bold Heading" w:hint="cs"/>
          <w:b w:val="0"/>
          <w:bCs w:val="0"/>
          <w:rtl/>
        </w:rPr>
        <w:t>جرائم الاستفتاء والانتخاب</w:t>
      </w:r>
    </w:p>
    <w:p w14:paraId="1491DC9B" w14:textId="77777777" w:rsidR="00C373D3" w:rsidRDefault="00C373D3" w:rsidP="00C373D3">
      <w:pPr>
        <w:pStyle w:val="Heading2"/>
        <w:spacing w:line="240" w:lineRule="auto"/>
        <w:ind w:firstLine="288"/>
        <w:rPr>
          <w:rFonts w:ascii="Simplified Arabic" w:eastAsia="Times New Roman" w:hAnsi="Simplified Arabic" w:cs="PT Bold Heading"/>
          <w:b w:val="0"/>
          <w:bCs w:val="0"/>
          <w:rtl/>
        </w:rPr>
      </w:pPr>
      <w:r>
        <w:rPr>
          <w:rFonts w:ascii="Simplified Arabic" w:eastAsia="Times New Roman" w:hAnsi="Simplified Arabic" w:cs="PT Bold Heading" w:hint="cs"/>
          <w:b w:val="0"/>
          <w:bCs w:val="0"/>
          <w:rtl/>
        </w:rPr>
        <w:t>المادة الثلاثون</w:t>
      </w:r>
      <w:r>
        <w:rPr>
          <w:rFonts w:ascii="Simplified Arabic" w:eastAsia="Times New Roman" w:hAnsi="Simplified Arabic" w:cs="PT Bold Heading" w:hint="cs"/>
          <w:vertAlign w:val="superscript"/>
          <w:rtl/>
        </w:rPr>
        <w:t>(</w:t>
      </w:r>
      <w:r>
        <w:rPr>
          <w:rStyle w:val="FootnoteReference"/>
          <w:rFonts w:ascii="Simplified Arabic" w:eastAsia="Times New Roman" w:hAnsi="Simplified Arabic" w:cs="PT Bold Heading"/>
          <w:rtl/>
        </w:rPr>
        <w:footnoteReference w:id="9"/>
      </w:r>
      <w:r>
        <w:rPr>
          <w:rFonts w:ascii="Simplified Arabic" w:eastAsia="Times New Roman" w:hAnsi="Simplified Arabic" w:cs="PT Bold Heading" w:hint="cs"/>
          <w:vertAlign w:val="superscript"/>
          <w:rtl/>
        </w:rPr>
        <w:t>)</w:t>
      </w:r>
    </w:p>
    <w:p w14:paraId="3AC8D451"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مع عدم الإخلال بأية عقوبة أشد ينص عليها قانون العقوبات أو أي قانون آخر، يعاقَب بالحبس مدة لا تزيد على سنتين وبغرامة لا تجاوز ألفي دينار أو بإحدى هاتين العقوبتين كل من ارتكب فعلاً من الأفعال الآتية:</w:t>
      </w:r>
    </w:p>
    <w:p w14:paraId="4585EF22"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Pr>
      </w:pPr>
      <w:r>
        <w:rPr>
          <w:rFonts w:asciiTheme="majorBidi" w:eastAsia="Times New Roman" w:hAnsiTheme="majorBidi" w:cstheme="majorBidi"/>
          <w:sz w:val="28"/>
          <w:szCs w:val="28"/>
          <w:rtl/>
        </w:rPr>
        <w:t>1- أورد بياناً كاذباً وهو عالمٌ بذلك في أية وثيقة قدمها لأمر يتعلق بجدول الناخبين، أو تعمَّد بأية وسيلة أخرى إدخال اسم فيه أو حذف اسم منه خلافاً لأحكام هذا القانون.</w:t>
      </w:r>
    </w:p>
    <w:p w14:paraId="3E33BEAC"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2- زوَّر أو حرَّف أو شوَّه أو أخفى أو أتلف أو سرق جدول الناخبين أو ورقة ترشيح أو ورقة اقتراع أو أية وثيقة أخرى تتعلق بعمليات الاستفتاء أو الانتخاب بقصد تغيير النتيجة.</w:t>
      </w:r>
    </w:p>
    <w:p w14:paraId="6226A5B9"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 xml:space="preserve">3- أعطى صوته في الاستفتاء أو الانتخاب وهو يعلم أنه لا حق له في ذلك، أو أنه فقدَ الشروط المطلوبة لاستعمال الحق فيهما بعد أن أصبحت الجداول نهائية. </w:t>
      </w:r>
    </w:p>
    <w:p w14:paraId="7FB090DB"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4- أخلَّ بحرية الاستفتاء أو الانتخاب أو بنظام إجراءاتهما باستعمال القوة أو التهديد أو التشويش أو بالاشتراك في التجمهر أو المظاهرات.</w:t>
      </w:r>
    </w:p>
    <w:p w14:paraId="33B21BEB"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5- استعمل حقه في الاستفتاء أو الانتخاب أكثر من مرة واحدة في يوم الاقتراع أو انتحل شخصية غيره.</w:t>
      </w:r>
    </w:p>
    <w:p w14:paraId="52E5D1AC"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6- أهان أية لجنة من اللجان المنصوص عليها في هذا القانون أو أحد أعضائها أثناء تأدية أعمالها.</w:t>
      </w:r>
    </w:p>
    <w:p w14:paraId="55A9A261"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7- نشر أو أذاع أقوالاً كاذبة عن موضوع الاستفتاء أو الانتخاب أو عن سلوك أحد المرشحين أو عن أخلاقه بقصد التأثير في نتيجة الاستفتاء أو الانتخاب.</w:t>
      </w:r>
    </w:p>
    <w:p w14:paraId="67C7367B" w14:textId="77777777" w:rsidR="00C373D3" w:rsidRDefault="00C373D3" w:rsidP="00C373D3">
      <w:pPr>
        <w:pStyle w:val="Heading2"/>
        <w:spacing w:line="240" w:lineRule="auto"/>
        <w:ind w:firstLine="288"/>
        <w:rPr>
          <w:rFonts w:ascii="Simplified Arabic" w:eastAsia="Times New Roman" w:hAnsi="Simplified Arabic" w:cs="PT Bold Heading"/>
          <w:b w:val="0"/>
          <w:bCs w:val="0"/>
          <w:rtl/>
        </w:rPr>
      </w:pPr>
      <w:r>
        <w:rPr>
          <w:rFonts w:ascii="Simplified Arabic" w:eastAsia="Times New Roman" w:hAnsi="Simplified Arabic" w:cs="PT Bold Heading" w:hint="cs"/>
          <w:b w:val="0"/>
          <w:bCs w:val="0"/>
          <w:rtl/>
        </w:rPr>
        <w:t>المادة الحادية والثلاثون</w:t>
      </w:r>
      <w:r>
        <w:rPr>
          <w:rFonts w:ascii="Simplified Arabic" w:eastAsia="Times New Roman" w:hAnsi="Simplified Arabic" w:cs="PT Bold Heading" w:hint="cs"/>
          <w:vertAlign w:val="superscript"/>
          <w:rtl/>
        </w:rPr>
        <w:t>(</w:t>
      </w:r>
      <w:r>
        <w:rPr>
          <w:rStyle w:val="FootnoteReference"/>
          <w:rFonts w:ascii="Simplified Arabic" w:eastAsia="Times New Roman" w:hAnsi="Simplified Arabic" w:cs="PT Bold Heading"/>
          <w:rtl/>
        </w:rPr>
        <w:footnoteReference w:id="10"/>
      </w:r>
      <w:r>
        <w:rPr>
          <w:rFonts w:ascii="Simplified Arabic" w:eastAsia="Times New Roman" w:hAnsi="Simplified Arabic" w:cs="PT Bold Heading" w:hint="cs"/>
          <w:vertAlign w:val="superscript"/>
          <w:rtl/>
        </w:rPr>
        <w:t>)</w:t>
      </w:r>
    </w:p>
    <w:p w14:paraId="60820551"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مع عدم الإخلال بأية عقوبة أشد ينص عليها قانون العقوبات أو أي قانون آخر، يعاقَب بالحبس مدة لا تزيد على ثلاث سنوات وبغرامة لا تجاوز ثلاثة آلاف دينار أو بإحدى هاتين العقوبتين كل موظف عام له اتصال بعملية الاستفتاء أو الانتخاب ارتكب جريمة من الجرائم المنصوص عليها في المادة السابقة.</w:t>
      </w:r>
    </w:p>
    <w:p w14:paraId="7712DF32" w14:textId="77777777" w:rsidR="00C373D3" w:rsidRDefault="00C373D3" w:rsidP="00C373D3">
      <w:pPr>
        <w:pStyle w:val="Heading2"/>
        <w:spacing w:line="240" w:lineRule="auto"/>
        <w:ind w:firstLine="288"/>
        <w:rPr>
          <w:rFonts w:ascii="Simplified Arabic" w:eastAsia="Times New Roman" w:hAnsi="Simplified Arabic" w:cs="PT Bold Heading"/>
          <w:b w:val="0"/>
          <w:bCs w:val="0"/>
          <w:rtl/>
        </w:rPr>
      </w:pPr>
      <w:r>
        <w:rPr>
          <w:rFonts w:ascii="Simplified Arabic" w:eastAsia="Times New Roman" w:hAnsi="Simplified Arabic" w:cs="PT Bold Heading" w:hint="cs"/>
          <w:b w:val="0"/>
          <w:bCs w:val="0"/>
          <w:rtl/>
        </w:rPr>
        <w:t>المادة الثانية والثلاثون</w:t>
      </w:r>
    </w:p>
    <w:p w14:paraId="2A097B26"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لا يجوز الحكم بوقف تنفيذ عقوبة الغرامة المنصوص عليها في المادتين السابقتين.</w:t>
      </w:r>
    </w:p>
    <w:p w14:paraId="48C62F8E" w14:textId="77777777" w:rsidR="00C373D3" w:rsidRDefault="00C373D3" w:rsidP="00C373D3">
      <w:pPr>
        <w:pStyle w:val="Heading2"/>
        <w:spacing w:line="240" w:lineRule="auto"/>
        <w:ind w:firstLine="288"/>
        <w:rPr>
          <w:rFonts w:ascii="Simplified Arabic" w:eastAsia="Times New Roman" w:hAnsi="Simplified Arabic" w:cs="PT Bold Heading"/>
          <w:b w:val="0"/>
          <w:bCs w:val="0"/>
          <w:rtl/>
        </w:rPr>
      </w:pPr>
      <w:r>
        <w:rPr>
          <w:rFonts w:ascii="Simplified Arabic" w:eastAsia="Times New Roman" w:hAnsi="Simplified Arabic" w:cs="PT Bold Heading" w:hint="cs"/>
          <w:b w:val="0"/>
          <w:bCs w:val="0"/>
          <w:rtl/>
        </w:rPr>
        <w:t>المادة الثالثة والثلاثون</w:t>
      </w:r>
    </w:p>
    <w:p w14:paraId="761B30C0"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يعاقب على الشروع في الجرائم المنصوص عليها في هذا القانون بالعقوبة المنصوص عليها للجريمة التامة.</w:t>
      </w:r>
    </w:p>
    <w:p w14:paraId="0C2A319C" w14:textId="77777777" w:rsidR="00C373D3" w:rsidRDefault="00C373D3" w:rsidP="00C373D3">
      <w:pPr>
        <w:pStyle w:val="Heading2"/>
        <w:spacing w:line="240" w:lineRule="auto"/>
        <w:ind w:firstLine="288"/>
        <w:rPr>
          <w:rFonts w:ascii="Simplified Arabic" w:eastAsia="Times New Roman" w:hAnsi="Simplified Arabic" w:cs="PT Bold Heading"/>
          <w:b w:val="0"/>
          <w:bCs w:val="0"/>
          <w:rtl/>
        </w:rPr>
      </w:pPr>
      <w:r>
        <w:rPr>
          <w:rFonts w:ascii="Simplified Arabic" w:eastAsia="Times New Roman" w:hAnsi="Simplified Arabic" w:cs="PT Bold Heading" w:hint="cs"/>
          <w:b w:val="0"/>
          <w:bCs w:val="0"/>
          <w:rtl/>
        </w:rPr>
        <w:t>المادة الرابعة والثلاثون</w:t>
      </w:r>
    </w:p>
    <w:p w14:paraId="49BDEAE3"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تنقضي الدعوى الجنائية ولا تسمع الدعوى المدنية في الجرائم المنصوص عليها في هذا القانون بمضي ستة أشهر من تاريخ إعلان نتيجة الاستفتاء أو الانتخاب، أو من تاريخ آخر إجراء قضائي في شأنها.</w:t>
      </w:r>
    </w:p>
    <w:p w14:paraId="15E8EFAB" w14:textId="77777777" w:rsidR="00C373D3" w:rsidRDefault="00C373D3" w:rsidP="00C373D3">
      <w:pPr>
        <w:pStyle w:val="Heading2"/>
        <w:spacing w:line="240" w:lineRule="auto"/>
        <w:ind w:firstLine="288"/>
        <w:rPr>
          <w:rFonts w:ascii="Simplified Arabic" w:eastAsia="Times New Roman" w:hAnsi="Simplified Arabic" w:cs="PT Bold Heading"/>
          <w:b w:val="0"/>
          <w:bCs w:val="0"/>
          <w:rtl/>
        </w:rPr>
      </w:pPr>
      <w:r>
        <w:rPr>
          <w:rFonts w:ascii="Simplified Arabic" w:eastAsia="Times New Roman" w:hAnsi="Simplified Arabic" w:cs="PT Bold Heading" w:hint="cs"/>
          <w:b w:val="0"/>
          <w:bCs w:val="0"/>
          <w:rtl/>
        </w:rPr>
        <w:t>المادة الخامسة والثلاثون</w:t>
      </w:r>
    </w:p>
    <w:p w14:paraId="243F277F"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يكون لرؤساء اللجان المنصوص عليها في هذا القانون السلطة المخولة لمأموري الضبط القضائي فيما يتعلق بالجرائم التي ترتكب في مقار اللجان أو يشرع في ارتكابها في هذه المقار.</w:t>
      </w:r>
    </w:p>
    <w:p w14:paraId="25DB0BB4" w14:textId="77777777" w:rsidR="00C373D3" w:rsidRDefault="00C373D3" w:rsidP="00C373D3">
      <w:pPr>
        <w:ind w:firstLine="288"/>
        <w:jc w:val="both"/>
        <w:rPr>
          <w:rFonts w:ascii="Simplified Arabic" w:eastAsia="Times New Roman" w:hAnsi="Simplified Arabic" w:cs="Simplified Arabic"/>
          <w:sz w:val="28"/>
          <w:szCs w:val="28"/>
          <w:rtl/>
        </w:rPr>
      </w:pPr>
      <w:r>
        <w:rPr>
          <w:rFonts w:ascii="Simplified Arabic" w:eastAsia="Times New Roman" w:hAnsi="Simplified Arabic" w:cs="Simplified Arabic"/>
          <w:b/>
          <w:bCs/>
          <w:rtl/>
        </w:rPr>
        <w:br w:type="page"/>
      </w:r>
    </w:p>
    <w:p w14:paraId="5F5CC6B0" w14:textId="77777777" w:rsidR="00C373D3" w:rsidRDefault="00C373D3" w:rsidP="00C373D3">
      <w:pPr>
        <w:pStyle w:val="Heading2"/>
        <w:spacing w:line="240" w:lineRule="auto"/>
        <w:ind w:firstLine="288"/>
        <w:rPr>
          <w:rFonts w:ascii="Simplified Arabic" w:eastAsia="Times New Roman" w:hAnsi="Simplified Arabic" w:cs="PT Bold Heading"/>
          <w:b w:val="0"/>
          <w:bCs w:val="0"/>
          <w:rtl/>
        </w:rPr>
      </w:pPr>
      <w:r>
        <w:rPr>
          <w:rFonts w:ascii="Simplified Arabic" w:eastAsia="Times New Roman" w:hAnsi="Simplified Arabic" w:cs="PT Bold Heading" w:hint="cs"/>
          <w:b w:val="0"/>
          <w:bCs w:val="0"/>
          <w:rtl/>
        </w:rPr>
        <w:t>الفصل الخامس</w:t>
      </w:r>
    </w:p>
    <w:p w14:paraId="053F4707" w14:textId="77777777" w:rsidR="00C373D3" w:rsidRDefault="00C373D3" w:rsidP="00C373D3">
      <w:pPr>
        <w:pStyle w:val="Heading2"/>
        <w:spacing w:line="240" w:lineRule="auto"/>
        <w:ind w:firstLine="288"/>
        <w:rPr>
          <w:rFonts w:ascii="Simplified Arabic" w:eastAsia="Times New Roman" w:hAnsi="Simplified Arabic" w:cs="PT Bold Heading"/>
          <w:b w:val="0"/>
          <w:bCs w:val="0"/>
          <w:rtl/>
        </w:rPr>
      </w:pPr>
      <w:r>
        <w:rPr>
          <w:rFonts w:ascii="Simplified Arabic" w:eastAsia="Times New Roman" w:hAnsi="Simplified Arabic" w:cs="PT Bold Heading" w:hint="cs"/>
          <w:b w:val="0"/>
          <w:bCs w:val="0"/>
          <w:rtl/>
        </w:rPr>
        <w:t>أحكام ختامية</w:t>
      </w:r>
    </w:p>
    <w:p w14:paraId="67947909" w14:textId="77777777" w:rsidR="00C373D3" w:rsidRDefault="00C373D3" w:rsidP="00C373D3">
      <w:pPr>
        <w:pStyle w:val="Heading2"/>
        <w:spacing w:line="240" w:lineRule="auto"/>
        <w:ind w:firstLine="288"/>
        <w:rPr>
          <w:rFonts w:ascii="Simplified Arabic" w:eastAsia="Times New Roman" w:hAnsi="Simplified Arabic" w:cs="PT Bold Heading"/>
          <w:b w:val="0"/>
          <w:bCs w:val="0"/>
          <w:rtl/>
        </w:rPr>
      </w:pPr>
      <w:r>
        <w:rPr>
          <w:rFonts w:ascii="Simplified Arabic" w:eastAsia="Times New Roman" w:hAnsi="Simplified Arabic" w:cs="PT Bold Heading" w:hint="cs"/>
          <w:b w:val="0"/>
          <w:bCs w:val="0"/>
          <w:rtl/>
        </w:rPr>
        <w:t>المادة السادسة والثلاثون</w:t>
      </w:r>
    </w:p>
    <w:p w14:paraId="45F42F87"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يلغى المرسوم بقانون رقم (10) لسنة 1973 بشأن أحكام الانتخاب للمجلس الوطني، كما يلغى كل نص يتعارض مع أحكام هذا القانون.</w:t>
      </w:r>
    </w:p>
    <w:p w14:paraId="43D01F0A" w14:textId="77777777" w:rsidR="00C373D3" w:rsidRDefault="00C373D3" w:rsidP="00C373D3">
      <w:pPr>
        <w:pStyle w:val="Heading2"/>
        <w:spacing w:line="240" w:lineRule="auto"/>
        <w:ind w:firstLine="288"/>
        <w:rPr>
          <w:rFonts w:ascii="Simplified Arabic" w:eastAsia="Times New Roman" w:hAnsi="Simplified Arabic" w:cs="PT Bold Heading"/>
          <w:b w:val="0"/>
          <w:bCs w:val="0"/>
          <w:rtl/>
        </w:rPr>
      </w:pPr>
      <w:r>
        <w:rPr>
          <w:rFonts w:ascii="Simplified Arabic" w:eastAsia="Times New Roman" w:hAnsi="Simplified Arabic" w:cs="PT Bold Heading" w:hint="cs"/>
          <w:b w:val="0"/>
          <w:bCs w:val="0"/>
          <w:rtl/>
        </w:rPr>
        <w:t>المادة السابعة والثلاثون</w:t>
      </w:r>
    </w:p>
    <w:p w14:paraId="2243AA09" w14:textId="77777777" w:rsidR="00C373D3" w:rsidRDefault="00C373D3" w:rsidP="00C373D3">
      <w:pPr>
        <w:bidi/>
        <w:spacing w:after="0" w:line="360" w:lineRule="auto"/>
        <w:ind w:firstLine="288"/>
        <w:jc w:val="lowKashida"/>
        <w:rPr>
          <w:rFonts w:asciiTheme="majorBidi" w:eastAsia="Times New Roman" w:hAnsiTheme="majorBidi" w:cstheme="majorBidi"/>
          <w:sz w:val="28"/>
          <w:szCs w:val="28"/>
          <w:rtl/>
        </w:rPr>
      </w:pPr>
      <w:r>
        <w:rPr>
          <w:rFonts w:asciiTheme="majorBidi" w:eastAsia="Times New Roman" w:hAnsiTheme="majorBidi" w:cstheme="majorBidi"/>
          <w:sz w:val="28"/>
          <w:szCs w:val="28"/>
          <w:rtl/>
        </w:rPr>
        <w:t>على رئيس مجلس الوزراء والوزراء – كل فيما يخصه – تنفيذ هذا القانون، ويعمل به من تاريخ نشره في الجريدة الرسمية.</w:t>
      </w:r>
    </w:p>
    <w:p w14:paraId="18DEE839" w14:textId="77777777" w:rsidR="00C373D3" w:rsidRDefault="00C373D3" w:rsidP="00C373D3">
      <w:pPr>
        <w:pStyle w:val="Heading2"/>
        <w:spacing w:line="240" w:lineRule="auto"/>
        <w:ind w:firstLine="288"/>
        <w:jc w:val="both"/>
        <w:rPr>
          <w:rFonts w:ascii="Simplified Arabic" w:eastAsia="Times New Roman" w:hAnsi="Simplified Arabic" w:cs="Simplified Arabic"/>
          <w:b w:val="0"/>
          <w:bCs w:val="0"/>
          <w:rtl/>
        </w:rPr>
      </w:pPr>
      <w:r>
        <w:rPr>
          <w:rFonts w:ascii="Simplified Arabic" w:eastAsia="Times New Roman" w:hAnsi="Simplified Arabic" w:cs="Simplified Arabic"/>
          <w:b w:val="0"/>
          <w:bCs w:val="0"/>
          <w:rtl/>
        </w:rPr>
        <w:t> </w:t>
      </w:r>
    </w:p>
    <w:p w14:paraId="3A7F9B17" w14:textId="77777777" w:rsidR="00C373D3" w:rsidRDefault="00C373D3" w:rsidP="00C373D3">
      <w:pPr>
        <w:pStyle w:val="Heading2"/>
        <w:spacing w:line="240" w:lineRule="auto"/>
        <w:ind w:firstLine="288"/>
        <w:jc w:val="both"/>
        <w:rPr>
          <w:rFonts w:ascii="Simplified Arabic" w:eastAsia="Times New Roman" w:hAnsi="Simplified Arabic" w:cs="Simplified Arabic"/>
          <w:b w:val="0"/>
          <w:bCs w:val="0"/>
          <w:rtl/>
        </w:rPr>
      </w:pPr>
    </w:p>
    <w:p w14:paraId="4C6D86AA" w14:textId="77777777" w:rsidR="00C373D3" w:rsidRDefault="00C373D3" w:rsidP="00C373D3">
      <w:pPr>
        <w:pStyle w:val="Heading2"/>
        <w:spacing w:line="240" w:lineRule="auto"/>
        <w:ind w:firstLine="288"/>
        <w:jc w:val="both"/>
        <w:rPr>
          <w:rFonts w:ascii="Simplified Arabic" w:eastAsia="Times New Roman" w:hAnsi="Simplified Arabic" w:cs="Simplified Arabic"/>
          <w:b w:val="0"/>
          <w:bCs w:val="0"/>
          <w:rtl/>
        </w:rPr>
      </w:pPr>
    </w:p>
    <w:p w14:paraId="20D40246" w14:textId="77777777" w:rsidR="00C373D3" w:rsidRDefault="00C373D3" w:rsidP="00C373D3">
      <w:pPr>
        <w:pStyle w:val="Heading2"/>
        <w:spacing w:line="240" w:lineRule="auto"/>
        <w:ind w:firstLine="288"/>
        <w:jc w:val="both"/>
        <w:rPr>
          <w:rFonts w:ascii="Simplified Arabic" w:eastAsia="Times New Roman" w:hAnsi="Simplified Arabic" w:cs="Simplified Arabic"/>
          <w:b w:val="0"/>
          <w:bCs w:val="0"/>
          <w:rtl/>
        </w:rPr>
      </w:pPr>
    </w:p>
    <w:p w14:paraId="0067FB18" w14:textId="77777777" w:rsidR="00C373D3" w:rsidRDefault="00C373D3" w:rsidP="00C373D3">
      <w:pPr>
        <w:pStyle w:val="Heading2"/>
        <w:spacing w:line="240" w:lineRule="auto"/>
        <w:ind w:firstLine="288"/>
        <w:jc w:val="both"/>
        <w:rPr>
          <w:rFonts w:ascii="Simplified Arabic" w:eastAsia="Times New Roman" w:hAnsi="Simplified Arabic" w:cs="Simplified Arabic"/>
          <w:b w:val="0"/>
          <w:bCs w:val="0"/>
          <w:rtl/>
        </w:rPr>
      </w:pPr>
    </w:p>
    <w:p w14:paraId="30187C05" w14:textId="77777777" w:rsidR="00C373D3" w:rsidRDefault="00C373D3" w:rsidP="00C373D3">
      <w:pPr>
        <w:pStyle w:val="Heading2"/>
        <w:spacing w:line="240" w:lineRule="auto"/>
        <w:ind w:firstLine="288"/>
        <w:jc w:val="both"/>
        <w:rPr>
          <w:rFonts w:ascii="Simplified Arabic" w:eastAsia="Times New Roman" w:hAnsi="Simplified Arabic" w:cs="Simplified Arabic"/>
          <w:b w:val="0"/>
          <w:bCs w:val="0"/>
          <w:rtl/>
        </w:rPr>
      </w:pPr>
    </w:p>
    <w:p w14:paraId="365A9D6A" w14:textId="77777777" w:rsidR="00C373D3" w:rsidRDefault="00C373D3" w:rsidP="00C373D3">
      <w:pPr>
        <w:pStyle w:val="Heading2"/>
        <w:spacing w:line="240" w:lineRule="auto"/>
        <w:ind w:firstLine="288"/>
        <w:jc w:val="both"/>
        <w:rPr>
          <w:rFonts w:ascii="Simplified Arabic" w:eastAsia="Times New Roman" w:hAnsi="Simplified Arabic" w:cs="PT Bold Heading"/>
          <w:b w:val="0"/>
          <w:bCs w:val="0"/>
          <w:rtl/>
        </w:rPr>
      </w:pPr>
    </w:p>
    <w:p w14:paraId="4D55CC51" w14:textId="77777777" w:rsidR="00C373D3" w:rsidRDefault="00C373D3" w:rsidP="00C373D3">
      <w:pPr>
        <w:pStyle w:val="Heading2"/>
        <w:spacing w:line="240" w:lineRule="auto"/>
        <w:ind w:firstLine="288"/>
        <w:jc w:val="right"/>
        <w:rPr>
          <w:rFonts w:ascii="Simplified Arabic" w:eastAsia="Times New Roman" w:hAnsi="Simplified Arabic" w:cs="PT Bold Heading"/>
          <w:b w:val="0"/>
          <w:bCs w:val="0"/>
          <w:rtl/>
        </w:rPr>
      </w:pPr>
      <w:r>
        <w:rPr>
          <w:rFonts w:ascii="Simplified Arabic" w:eastAsia="Times New Roman" w:hAnsi="Simplified Arabic" w:cs="PT Bold Heading"/>
          <w:b w:val="0"/>
          <w:bCs w:val="0"/>
        </w:rPr>
        <w:t xml:space="preserve">            </w:t>
      </w:r>
      <w:r>
        <w:rPr>
          <w:rFonts w:ascii="Simplified Arabic" w:eastAsia="Times New Roman" w:hAnsi="Simplified Arabic" w:cs="PT Bold Heading" w:hint="cs"/>
          <w:b w:val="0"/>
          <w:bCs w:val="0"/>
          <w:rtl/>
        </w:rPr>
        <w:t>ملك مملكة البحرين</w:t>
      </w:r>
    </w:p>
    <w:p w14:paraId="6F8C0CF9" w14:textId="77777777" w:rsidR="00C373D3" w:rsidRDefault="00C373D3" w:rsidP="00C373D3">
      <w:pPr>
        <w:pStyle w:val="Heading2"/>
        <w:spacing w:line="240" w:lineRule="auto"/>
        <w:ind w:firstLine="288"/>
        <w:jc w:val="right"/>
        <w:rPr>
          <w:rFonts w:ascii="Simplified Arabic" w:eastAsia="Times New Roman" w:hAnsi="Simplified Arabic" w:cs="PT Bold Heading"/>
          <w:b w:val="0"/>
          <w:bCs w:val="0"/>
          <w:rtl/>
        </w:rPr>
      </w:pPr>
      <w:r>
        <w:rPr>
          <w:rFonts w:ascii="Simplified Arabic" w:eastAsia="Times New Roman" w:hAnsi="Simplified Arabic" w:cs="PT Bold Heading"/>
          <w:b w:val="0"/>
          <w:bCs w:val="0"/>
        </w:rPr>
        <w:t xml:space="preserve">         </w:t>
      </w:r>
      <w:r>
        <w:rPr>
          <w:rFonts w:ascii="Simplified Arabic" w:eastAsia="Times New Roman" w:hAnsi="Simplified Arabic" w:cs="PT Bold Heading" w:hint="cs"/>
          <w:b w:val="0"/>
          <w:bCs w:val="0"/>
          <w:rtl/>
        </w:rPr>
        <w:t>حمد بن عيسى آل خليفة</w:t>
      </w:r>
    </w:p>
    <w:p w14:paraId="6ADAAC95" w14:textId="77777777" w:rsidR="00C373D3" w:rsidRDefault="00C373D3" w:rsidP="00C373D3">
      <w:pPr>
        <w:pStyle w:val="Heading2"/>
        <w:spacing w:line="240" w:lineRule="auto"/>
        <w:ind w:firstLine="288"/>
        <w:rPr>
          <w:rFonts w:ascii="Simplified Arabic" w:eastAsia="Times New Roman" w:hAnsi="Simplified Arabic" w:cs="PT Bold Heading"/>
          <w:b w:val="0"/>
          <w:bCs w:val="0"/>
          <w:rtl/>
        </w:rPr>
      </w:pPr>
      <w:r>
        <w:rPr>
          <w:rFonts w:ascii="Simplified Arabic" w:eastAsia="Times New Roman" w:hAnsi="Simplified Arabic" w:cs="PT Bold Heading" w:hint="cs"/>
          <w:b w:val="0"/>
          <w:bCs w:val="0"/>
          <w:rtl/>
        </w:rPr>
        <w:t>رئيس مجلس الوزراء</w:t>
      </w:r>
    </w:p>
    <w:p w14:paraId="621BC158" w14:textId="77777777" w:rsidR="00C373D3" w:rsidRDefault="00C373D3" w:rsidP="00C373D3">
      <w:pPr>
        <w:pStyle w:val="Heading2"/>
        <w:spacing w:line="240" w:lineRule="auto"/>
        <w:ind w:firstLine="288"/>
        <w:rPr>
          <w:rFonts w:ascii="Simplified Arabic" w:eastAsia="Times New Roman" w:hAnsi="Simplified Arabic" w:cs="PT Bold Heading"/>
          <w:b w:val="0"/>
          <w:bCs w:val="0"/>
          <w:rtl/>
        </w:rPr>
      </w:pPr>
      <w:r>
        <w:rPr>
          <w:rFonts w:ascii="Simplified Arabic" w:eastAsia="Times New Roman" w:hAnsi="Simplified Arabic" w:cs="PT Bold Heading" w:hint="cs"/>
          <w:b w:val="0"/>
          <w:bCs w:val="0"/>
          <w:rtl/>
        </w:rPr>
        <w:t>خليفة بن سلمان آل خليفة</w:t>
      </w:r>
    </w:p>
    <w:p w14:paraId="5DD5387D" w14:textId="77777777" w:rsidR="00C373D3" w:rsidRDefault="00C373D3" w:rsidP="00C373D3">
      <w:pPr>
        <w:pStyle w:val="Heading2"/>
        <w:spacing w:line="240" w:lineRule="auto"/>
        <w:ind w:firstLine="288"/>
        <w:jc w:val="both"/>
        <w:rPr>
          <w:rFonts w:ascii="Simplified Arabic" w:eastAsia="Times New Roman" w:hAnsi="Simplified Arabic" w:cs="PT Bold Heading"/>
          <w:b w:val="0"/>
          <w:bCs w:val="0"/>
          <w:rtl/>
        </w:rPr>
      </w:pPr>
      <w:r>
        <w:rPr>
          <w:rFonts w:ascii="Times New Roman" w:eastAsia="Times New Roman" w:hAnsi="Times New Roman" w:cs="Times New Roman"/>
          <w:b w:val="0"/>
          <w:bCs w:val="0"/>
          <w:rtl/>
        </w:rPr>
        <w:t> </w:t>
      </w:r>
    </w:p>
    <w:p w14:paraId="57E50659" w14:textId="77777777" w:rsidR="00C373D3" w:rsidRDefault="00C373D3" w:rsidP="00C373D3">
      <w:pPr>
        <w:pStyle w:val="Heading2"/>
        <w:spacing w:line="240" w:lineRule="auto"/>
        <w:ind w:firstLine="288"/>
        <w:jc w:val="both"/>
        <w:rPr>
          <w:rFonts w:ascii="Simplified Arabic" w:eastAsia="Times New Roman" w:hAnsi="Simplified Arabic" w:cs="PT Bold Heading"/>
          <w:b w:val="0"/>
          <w:bCs w:val="0"/>
          <w:rtl/>
        </w:rPr>
      </w:pPr>
      <w:r>
        <w:rPr>
          <w:rFonts w:ascii="Simplified Arabic" w:eastAsia="Times New Roman" w:hAnsi="Simplified Arabic" w:cs="PT Bold Heading" w:hint="cs"/>
          <w:b w:val="0"/>
          <w:bCs w:val="0"/>
          <w:rtl/>
        </w:rPr>
        <w:t>صدر في قصر الرفاع:</w:t>
      </w:r>
    </w:p>
    <w:p w14:paraId="0831769A" w14:textId="77777777" w:rsidR="00C373D3" w:rsidRDefault="00C373D3" w:rsidP="00C373D3">
      <w:pPr>
        <w:pStyle w:val="Heading2"/>
        <w:spacing w:line="240" w:lineRule="auto"/>
        <w:ind w:firstLine="288"/>
        <w:jc w:val="both"/>
        <w:rPr>
          <w:rFonts w:ascii="Simplified Arabic" w:eastAsia="Times New Roman" w:hAnsi="Simplified Arabic" w:cs="PT Bold Heading"/>
          <w:b w:val="0"/>
          <w:bCs w:val="0"/>
          <w:rtl/>
        </w:rPr>
      </w:pPr>
      <w:r>
        <w:rPr>
          <w:rFonts w:ascii="Simplified Arabic" w:eastAsia="Times New Roman" w:hAnsi="Simplified Arabic" w:cs="PT Bold Heading" w:hint="cs"/>
          <w:b w:val="0"/>
          <w:bCs w:val="0"/>
          <w:rtl/>
        </w:rPr>
        <w:t>بتاريخ 22 ربيع الآخر 1423 هـ</w:t>
      </w:r>
    </w:p>
    <w:p w14:paraId="6C9FA57E" w14:textId="77777777" w:rsidR="00C373D3" w:rsidRDefault="00C373D3" w:rsidP="00C373D3">
      <w:pPr>
        <w:pStyle w:val="Heading2"/>
        <w:spacing w:line="240" w:lineRule="auto"/>
        <w:ind w:firstLine="288"/>
        <w:jc w:val="both"/>
        <w:rPr>
          <w:rFonts w:ascii="Simplified Arabic" w:eastAsia="Times New Roman" w:hAnsi="Simplified Arabic" w:cs="PT Bold Heading"/>
          <w:b w:val="0"/>
          <w:bCs w:val="0"/>
          <w:rtl/>
        </w:rPr>
      </w:pPr>
      <w:r>
        <w:rPr>
          <w:rFonts w:ascii="Simplified Arabic" w:eastAsia="Times New Roman" w:hAnsi="Simplified Arabic" w:cs="PT Bold Heading" w:hint="cs"/>
          <w:b w:val="0"/>
          <w:bCs w:val="0"/>
          <w:rtl/>
        </w:rPr>
        <w:t>الموافق 3 يوليو 2002 م</w:t>
      </w:r>
    </w:p>
    <w:p w14:paraId="4F2105CB" w14:textId="77777777" w:rsidR="006D1B50" w:rsidRDefault="006D1B50" w:rsidP="00C373D3">
      <w:pPr>
        <w:bidi/>
      </w:pPr>
    </w:p>
    <w:sectPr w:rsidR="006D1B5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2FC67" w14:textId="77777777" w:rsidR="003A5F77" w:rsidRDefault="003A5F77" w:rsidP="00C373D3">
      <w:pPr>
        <w:spacing w:after="0" w:line="240" w:lineRule="auto"/>
      </w:pPr>
      <w:r>
        <w:separator/>
      </w:r>
    </w:p>
  </w:endnote>
  <w:endnote w:type="continuationSeparator" w:id="0">
    <w:p w14:paraId="02FF7A33" w14:textId="77777777" w:rsidR="003A5F77" w:rsidRDefault="003A5F77" w:rsidP="00C3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E532D" w14:textId="77777777" w:rsidR="003A5F77" w:rsidRDefault="003A5F77" w:rsidP="00C373D3">
      <w:pPr>
        <w:spacing w:after="0" w:line="240" w:lineRule="auto"/>
      </w:pPr>
      <w:r>
        <w:separator/>
      </w:r>
    </w:p>
  </w:footnote>
  <w:footnote w:type="continuationSeparator" w:id="0">
    <w:p w14:paraId="193D6302" w14:textId="77777777" w:rsidR="003A5F77" w:rsidRDefault="003A5F77" w:rsidP="00C373D3">
      <w:pPr>
        <w:spacing w:after="0" w:line="240" w:lineRule="auto"/>
      </w:pPr>
      <w:r>
        <w:continuationSeparator/>
      </w:r>
    </w:p>
  </w:footnote>
  <w:footnote w:id="1">
    <w:p w14:paraId="439CD1C7" w14:textId="77777777" w:rsidR="00C373D3" w:rsidRDefault="00C373D3" w:rsidP="00C373D3">
      <w:pPr>
        <w:pStyle w:val="FootnoteText"/>
      </w:pPr>
      <w:r>
        <w:rPr>
          <w:rFonts w:hint="cs"/>
          <w:vertAlign w:val="superscript"/>
          <w:rtl/>
        </w:rPr>
        <w:t>(</w:t>
      </w:r>
      <w:r>
        <w:rPr>
          <w:rStyle w:val="FootnoteReference"/>
        </w:rPr>
        <w:footnoteRef/>
      </w:r>
      <w:r>
        <w:rPr>
          <w:rFonts w:hint="cs"/>
          <w:vertAlign w:val="superscript"/>
          <w:rtl/>
        </w:rPr>
        <w:t>)</w:t>
      </w:r>
      <w:r>
        <w:rPr>
          <w:rFonts w:hint="cs"/>
          <w:rtl/>
        </w:rPr>
        <w:t xml:space="preserve"> استُبدل بموجب القانون رقم (36) لسنة 2006 بتعديل بعض أحكام المرسوم بقانون رقم (14) لسنة 2002 بشأن مباشرة الحقوق السياسية، المعدل بالمرسوم بقانون رقم (35) لسنة 2002.</w:t>
      </w:r>
    </w:p>
  </w:footnote>
  <w:footnote w:id="2">
    <w:p w14:paraId="722894A2" w14:textId="77777777" w:rsidR="00C373D3" w:rsidRDefault="00C373D3" w:rsidP="00C373D3">
      <w:pPr>
        <w:pStyle w:val="FootnoteText"/>
      </w:pPr>
      <w:r>
        <w:rPr>
          <w:rFonts w:hint="cs"/>
          <w:vertAlign w:val="superscript"/>
          <w:rtl/>
        </w:rPr>
        <w:t>(</w:t>
      </w:r>
      <w:r>
        <w:rPr>
          <w:rStyle w:val="FootnoteReference"/>
        </w:rPr>
        <w:footnoteRef/>
      </w:r>
      <w:r>
        <w:rPr>
          <w:rFonts w:hint="cs"/>
          <w:vertAlign w:val="superscript"/>
          <w:rtl/>
        </w:rPr>
        <w:t>)</w:t>
      </w:r>
      <w:r>
        <w:rPr>
          <w:rFonts w:hint="cs"/>
          <w:rtl/>
        </w:rPr>
        <w:t xml:space="preserve"> استُبدلت بموجب القانون رقم (36) لسنة 2006 بتعديل بعض أحكام </w:t>
      </w:r>
      <w:bookmarkStart w:id="0" w:name="_Hlk32831699"/>
      <w:r>
        <w:rPr>
          <w:rFonts w:hint="cs"/>
          <w:rtl/>
        </w:rPr>
        <w:t>المرسوم بقانون رقم (14) لسنة 2002 بشأن مباشرة الحقوق السياسية</w:t>
      </w:r>
      <w:bookmarkEnd w:id="0"/>
      <w:r>
        <w:rPr>
          <w:rFonts w:hint="cs"/>
          <w:rtl/>
        </w:rPr>
        <w:t>، المعدل بالمرسوم بقانون رقم (35) لسنة 2002.</w:t>
      </w:r>
    </w:p>
  </w:footnote>
  <w:footnote w:id="3">
    <w:p w14:paraId="19DB06C9" w14:textId="77777777" w:rsidR="00C373D3" w:rsidRDefault="00C373D3" w:rsidP="00C373D3">
      <w:pPr>
        <w:pStyle w:val="FootnoteText"/>
      </w:pPr>
      <w:r>
        <w:rPr>
          <w:rFonts w:hint="cs"/>
          <w:vertAlign w:val="superscript"/>
          <w:rtl/>
        </w:rPr>
        <w:t>(</w:t>
      </w:r>
      <w:r>
        <w:rPr>
          <w:rStyle w:val="FootnoteReference"/>
        </w:rPr>
        <w:footnoteRef/>
      </w:r>
      <w:r>
        <w:rPr>
          <w:rFonts w:hint="cs"/>
          <w:vertAlign w:val="superscript"/>
          <w:rtl/>
        </w:rPr>
        <w:t xml:space="preserve">) </w:t>
      </w:r>
      <w:r>
        <w:rPr>
          <w:rFonts w:hint="cs"/>
          <w:rtl/>
        </w:rPr>
        <w:t>استُبدلت بموجب القانون رقم (25) لسنة 2018 بتعديل المادة الثالثة من المرسوم بقانون رقم (14) لسنة 2002 بشأن مباشرة الحقوق السياسية.</w:t>
      </w:r>
    </w:p>
  </w:footnote>
  <w:footnote w:id="4">
    <w:p w14:paraId="02A01149" w14:textId="77777777" w:rsidR="00C373D3" w:rsidRDefault="00C373D3" w:rsidP="00C373D3">
      <w:pPr>
        <w:pStyle w:val="FootnoteText"/>
      </w:pPr>
      <w:r>
        <w:rPr>
          <w:rFonts w:hint="cs"/>
          <w:vertAlign w:val="superscript"/>
          <w:rtl/>
        </w:rPr>
        <w:t>(</w:t>
      </w:r>
      <w:r>
        <w:rPr>
          <w:rStyle w:val="FootnoteReference"/>
        </w:rPr>
        <w:footnoteRef/>
      </w:r>
      <w:r>
        <w:rPr>
          <w:rFonts w:hint="cs"/>
          <w:vertAlign w:val="superscript"/>
          <w:rtl/>
        </w:rPr>
        <w:t>)</w:t>
      </w:r>
      <w:r>
        <w:rPr>
          <w:rFonts w:hint="cs"/>
          <w:rtl/>
        </w:rPr>
        <w:t xml:space="preserve"> استُبدلت بموجب القانون رقم (36) لسنة 2006 بتعديل بعض أحكام المرسوم بقانون رقم (14) لسنة 2002 بشأن مباشرة الحقوق السياسية. المعدل بالمرسوم بقانون رقم (35) لسنة 2002</w:t>
      </w:r>
    </w:p>
  </w:footnote>
  <w:footnote w:id="5">
    <w:p w14:paraId="51C3BCD7" w14:textId="77777777" w:rsidR="00C373D3" w:rsidRDefault="00C373D3" w:rsidP="00C373D3">
      <w:pPr>
        <w:pStyle w:val="FootnoteText"/>
      </w:pPr>
      <w:r>
        <w:rPr>
          <w:rFonts w:hint="cs"/>
          <w:vertAlign w:val="superscript"/>
          <w:rtl/>
        </w:rPr>
        <w:t>(</w:t>
      </w:r>
      <w:r>
        <w:rPr>
          <w:rStyle w:val="FootnoteReference"/>
        </w:rPr>
        <w:footnoteRef/>
      </w:r>
      <w:r>
        <w:rPr>
          <w:rFonts w:hint="cs"/>
          <w:vertAlign w:val="superscript"/>
          <w:rtl/>
        </w:rPr>
        <w:t>)</w:t>
      </w:r>
      <w:r>
        <w:rPr>
          <w:rFonts w:hint="cs"/>
          <w:rtl/>
        </w:rPr>
        <w:t xml:space="preserve"> استُبدل بموجب المرسوم بقانون رقم (57) لسنة 2014 بتعديل بعض أحكام المرسوم بقانون رقم (14) لسنة 2002 بشأن مباشرة الحقوق السياسية.</w:t>
      </w:r>
    </w:p>
  </w:footnote>
  <w:footnote w:id="6">
    <w:p w14:paraId="5D305B19" w14:textId="77777777" w:rsidR="00C373D3" w:rsidRDefault="00C373D3" w:rsidP="00C373D3">
      <w:pPr>
        <w:pStyle w:val="FootnoteText"/>
      </w:pPr>
      <w:r>
        <w:rPr>
          <w:rFonts w:hint="cs"/>
          <w:vertAlign w:val="superscript"/>
          <w:rtl/>
        </w:rPr>
        <w:t>(</w:t>
      </w:r>
      <w:r>
        <w:rPr>
          <w:rStyle w:val="FootnoteReference"/>
        </w:rPr>
        <w:footnoteRef/>
      </w:r>
      <w:r>
        <w:rPr>
          <w:rFonts w:hint="cs"/>
          <w:vertAlign w:val="superscript"/>
          <w:rtl/>
        </w:rPr>
        <w:t>)</w:t>
      </w:r>
      <w:r>
        <w:rPr>
          <w:rFonts w:hint="cs"/>
          <w:rtl/>
        </w:rPr>
        <w:t xml:space="preserve"> استُبدلت بموجب المرسوم بقانون رقم (35) لسنة 2002 بتعديل بعض أحكام المرسوم بقانون رقم (14) لسنة 2002 بشأن مباشرة الحقوق السياسية.</w:t>
      </w:r>
    </w:p>
  </w:footnote>
  <w:footnote w:id="7">
    <w:p w14:paraId="2323BA81" w14:textId="77777777" w:rsidR="00C373D3" w:rsidRDefault="00C373D3" w:rsidP="00C373D3">
      <w:pPr>
        <w:pStyle w:val="FootnoteText"/>
      </w:pPr>
      <w:r>
        <w:rPr>
          <w:rFonts w:hint="cs"/>
          <w:vertAlign w:val="superscript"/>
          <w:rtl/>
        </w:rPr>
        <w:t>(</w:t>
      </w:r>
      <w:r>
        <w:rPr>
          <w:rStyle w:val="FootnoteReference"/>
        </w:rPr>
        <w:footnoteRef/>
      </w:r>
      <w:r>
        <w:rPr>
          <w:rFonts w:hint="cs"/>
          <w:vertAlign w:val="superscript"/>
          <w:rtl/>
        </w:rPr>
        <w:t xml:space="preserve">) </w:t>
      </w:r>
      <w:r>
        <w:rPr>
          <w:rFonts w:hint="cs"/>
          <w:rtl/>
        </w:rPr>
        <w:t>استُبدلت بموجب المرسوم بقانون رقم (57) لسنة 2014 بتعديل بعض أحكام المرسوم بقانون رقم (14) لسنة 2002 بشأن مباشرة الحقوق السياسية.</w:t>
      </w:r>
    </w:p>
    <w:p w14:paraId="2CB6BA56" w14:textId="77777777" w:rsidR="00C373D3" w:rsidRDefault="00C373D3" w:rsidP="00C373D3">
      <w:pPr>
        <w:pStyle w:val="FootnoteText"/>
        <w:rPr>
          <w:rtl/>
        </w:rPr>
      </w:pPr>
    </w:p>
  </w:footnote>
  <w:footnote w:id="8">
    <w:p w14:paraId="7917360D" w14:textId="77777777" w:rsidR="00C373D3" w:rsidRDefault="00C373D3" w:rsidP="00C373D3">
      <w:pPr>
        <w:pStyle w:val="FootnoteText"/>
      </w:pPr>
      <w:r>
        <w:rPr>
          <w:rFonts w:hint="cs"/>
          <w:vertAlign w:val="superscript"/>
          <w:rtl/>
        </w:rPr>
        <w:t>(</w:t>
      </w:r>
      <w:r>
        <w:rPr>
          <w:rStyle w:val="FootnoteReference"/>
        </w:rPr>
        <w:footnoteRef/>
      </w:r>
      <w:r>
        <w:rPr>
          <w:rFonts w:hint="cs"/>
          <w:vertAlign w:val="superscript"/>
          <w:rtl/>
        </w:rPr>
        <w:t>)</w:t>
      </w:r>
      <w:r>
        <w:rPr>
          <w:rFonts w:hint="cs"/>
          <w:rtl/>
        </w:rPr>
        <w:t xml:space="preserve"> استُبدلت بموجب المرسوم بقانون رقم (35) لسنة 2002 بتعديل بعض أحكام المرسوم بقانون رقم (14) لسنة 2002 بشأن مباشرة الحقوق السياسية.</w:t>
      </w:r>
    </w:p>
  </w:footnote>
  <w:footnote w:id="9">
    <w:p w14:paraId="0A819580" w14:textId="77777777" w:rsidR="00C373D3" w:rsidRDefault="00C373D3" w:rsidP="00C373D3">
      <w:pPr>
        <w:pStyle w:val="FootnoteText"/>
      </w:pPr>
      <w:r>
        <w:rPr>
          <w:rFonts w:hint="cs"/>
          <w:vertAlign w:val="superscript"/>
          <w:rtl/>
        </w:rPr>
        <w:t>(</w:t>
      </w:r>
      <w:r>
        <w:rPr>
          <w:rStyle w:val="FootnoteReference"/>
        </w:rPr>
        <w:footnoteRef/>
      </w:r>
      <w:r>
        <w:rPr>
          <w:rFonts w:hint="cs"/>
          <w:vertAlign w:val="superscript"/>
          <w:rtl/>
        </w:rPr>
        <w:t>)</w:t>
      </w:r>
      <w:r>
        <w:rPr>
          <w:rFonts w:hint="cs"/>
          <w:rtl/>
        </w:rPr>
        <w:t xml:space="preserve"> استُبدلت بموجب القانون رقم (14) لسنة 2016 بتعديل بعض أحكام المرسوم بقانون رقم (14) لسنة 2002 بشأن مباشرة الحقوق السياسية.</w:t>
      </w:r>
    </w:p>
  </w:footnote>
  <w:footnote w:id="10">
    <w:p w14:paraId="2850FDE2" w14:textId="77777777" w:rsidR="00C373D3" w:rsidRDefault="00C373D3" w:rsidP="00C373D3">
      <w:pPr>
        <w:pStyle w:val="FootnoteText"/>
      </w:pPr>
      <w:r>
        <w:rPr>
          <w:rFonts w:hint="cs"/>
          <w:vertAlign w:val="superscript"/>
          <w:rtl/>
        </w:rPr>
        <w:t>(</w:t>
      </w:r>
      <w:r>
        <w:rPr>
          <w:rStyle w:val="FootnoteReference"/>
        </w:rPr>
        <w:footnoteRef/>
      </w:r>
      <w:r>
        <w:rPr>
          <w:rFonts w:hint="cs"/>
          <w:vertAlign w:val="superscript"/>
          <w:rtl/>
        </w:rPr>
        <w:t xml:space="preserve">) </w:t>
      </w:r>
      <w:r>
        <w:rPr>
          <w:rFonts w:hint="cs"/>
          <w:rtl/>
        </w:rPr>
        <w:t>استبدلت بموجب القانون رقم (14) لسنة 2016 بتعديل بعض أحكام المرسوم بقانون رقم (14) لسنة 2002 بشأن مباشرة الحقوق السياسية.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B28F6"/>
    <w:multiLevelType w:val="hybridMultilevel"/>
    <w:tmpl w:val="138E7EA0"/>
    <w:lvl w:ilvl="0" w:tplc="301E7446">
      <w:start w:val="1"/>
      <w:numFmt w:val="decimal"/>
      <w:lvlText w:val="%1-"/>
      <w:lvlJc w:val="left"/>
      <w:pPr>
        <w:ind w:left="648" w:hanging="360"/>
      </w:p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num w:numId="1" w16cid:durableId="8657977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3D3"/>
    <w:rsid w:val="000E4EA6"/>
    <w:rsid w:val="003A5F77"/>
    <w:rsid w:val="005705CA"/>
    <w:rsid w:val="006D1B50"/>
    <w:rsid w:val="00776CC2"/>
    <w:rsid w:val="00853D7D"/>
    <w:rsid w:val="00872BF5"/>
    <w:rsid w:val="00C318A6"/>
    <w:rsid w:val="00C373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19F3B"/>
  <w15:chartTrackingRefBased/>
  <w15:docId w15:val="{BAD6FC9C-9DEB-493A-A88E-FCCA9465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3D3"/>
    <w:pPr>
      <w:spacing w:after="200" w:line="276" w:lineRule="auto"/>
    </w:pPr>
    <w:rPr>
      <w:kern w:val="0"/>
      <w14:ligatures w14:val="none"/>
    </w:rPr>
  </w:style>
  <w:style w:type="paragraph" w:styleId="Heading2">
    <w:name w:val="heading 2"/>
    <w:basedOn w:val="Normal"/>
    <w:link w:val="Heading2Char"/>
    <w:uiPriority w:val="99"/>
    <w:semiHidden/>
    <w:unhideWhenUsed/>
    <w:qFormat/>
    <w:rsid w:val="00C373D3"/>
    <w:pPr>
      <w:keepNext/>
      <w:bidi/>
      <w:spacing w:after="0" w:line="360" w:lineRule="auto"/>
      <w:jc w:val="center"/>
      <w:outlineLvl w:val="1"/>
    </w:pPr>
    <w:rPr>
      <w:rFonts w:ascii="Arial" w:eastAsiaTheme="minorEastAsia"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C373D3"/>
    <w:rPr>
      <w:rFonts w:ascii="Arial" w:eastAsiaTheme="minorEastAsia" w:hAnsi="Arial" w:cs="Arial"/>
      <w:b/>
      <w:bCs/>
      <w:kern w:val="0"/>
      <w:sz w:val="28"/>
      <w:szCs w:val="28"/>
      <w14:ligatures w14:val="none"/>
    </w:rPr>
  </w:style>
  <w:style w:type="paragraph" w:styleId="FootnoteText">
    <w:name w:val="footnote text"/>
    <w:basedOn w:val="Normal"/>
    <w:link w:val="FootnoteTextChar"/>
    <w:autoRedefine/>
    <w:uiPriority w:val="99"/>
    <w:semiHidden/>
    <w:unhideWhenUsed/>
    <w:rsid w:val="00C373D3"/>
    <w:pPr>
      <w:tabs>
        <w:tab w:val="center" w:pos="3968"/>
      </w:tabs>
      <w:bidi/>
      <w:spacing w:after="0" w:line="240" w:lineRule="auto"/>
    </w:pPr>
    <w:rPr>
      <w:rFonts w:asciiTheme="majorBidi" w:hAnsiTheme="majorBidi" w:cstheme="majorBidi"/>
      <w:sz w:val="24"/>
      <w:szCs w:val="24"/>
    </w:rPr>
  </w:style>
  <w:style w:type="character" w:customStyle="1" w:styleId="FootnoteTextChar">
    <w:name w:val="Footnote Text Char"/>
    <w:basedOn w:val="DefaultParagraphFont"/>
    <w:link w:val="FootnoteText"/>
    <w:uiPriority w:val="99"/>
    <w:semiHidden/>
    <w:rsid w:val="00C373D3"/>
    <w:rPr>
      <w:rFonts w:asciiTheme="majorBidi" w:hAnsiTheme="majorBidi" w:cstheme="majorBidi"/>
      <w:kern w:val="0"/>
      <w:sz w:val="24"/>
      <w:szCs w:val="24"/>
      <w14:ligatures w14:val="none"/>
    </w:rPr>
  </w:style>
  <w:style w:type="paragraph" w:styleId="ListParagraph">
    <w:name w:val="List Paragraph"/>
    <w:basedOn w:val="Normal"/>
    <w:uiPriority w:val="34"/>
    <w:qFormat/>
    <w:rsid w:val="00C373D3"/>
    <w:pPr>
      <w:ind w:left="720"/>
      <w:contextualSpacing/>
    </w:pPr>
  </w:style>
  <w:style w:type="character" w:styleId="FootnoteReference">
    <w:name w:val="footnote reference"/>
    <w:basedOn w:val="DefaultParagraphFont"/>
    <w:semiHidden/>
    <w:unhideWhenUsed/>
    <w:rsid w:val="00C373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20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2112</Words>
  <Characters>12043</Characters>
  <Application>Microsoft Office Word</Application>
  <DocSecurity>0</DocSecurity>
  <Lines>100</Lines>
  <Paragraphs>28</Paragraphs>
  <ScaleCrop>false</ScaleCrop>
  <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في عيسى الدوسري</dc:creator>
  <cp:keywords/>
  <dc:description/>
  <cp:lastModifiedBy>فيصل فايز البلوشي</cp:lastModifiedBy>
  <cp:revision>6</cp:revision>
  <dcterms:created xsi:type="dcterms:W3CDTF">2023-09-25T10:41:00Z</dcterms:created>
  <dcterms:modified xsi:type="dcterms:W3CDTF">2023-10-05T08:49:00Z</dcterms:modified>
</cp:coreProperties>
</file>