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ABFFCF" w14:textId="77777777" w:rsidR="004E4845" w:rsidRPr="004E4845" w:rsidRDefault="004E4845" w:rsidP="00536440">
      <w:pPr>
        <w:autoSpaceDE w:val="0"/>
        <w:autoSpaceDN w:val="0"/>
        <w:adjustRightInd w:val="0"/>
        <w:spacing w:before="120" w:after="0" w:line="360" w:lineRule="auto"/>
        <w:jc w:val="center"/>
        <w:rPr>
          <w:rFonts w:ascii="Arial" w:hAnsi="Arial" w:cs="Arial"/>
          <w:b/>
          <w:bCs/>
          <w:sz w:val="28"/>
          <w:szCs w:val="28"/>
          <w:lang w:bidi="ar-DZ"/>
        </w:rPr>
      </w:pPr>
    </w:p>
    <w:p w14:paraId="54815F58" w14:textId="77777777" w:rsidR="004E4845" w:rsidRPr="004E4845" w:rsidRDefault="004E4845" w:rsidP="00536440">
      <w:pPr>
        <w:autoSpaceDE w:val="0"/>
        <w:autoSpaceDN w:val="0"/>
        <w:adjustRightInd w:val="0"/>
        <w:spacing w:before="120" w:after="0" w:line="360" w:lineRule="auto"/>
        <w:jc w:val="center"/>
        <w:rPr>
          <w:rFonts w:ascii="Arial" w:hAnsi="Arial" w:cs="Arial"/>
          <w:b/>
          <w:bCs/>
          <w:kern w:val="0"/>
          <w:sz w:val="28"/>
          <w:szCs w:val="28"/>
        </w:rPr>
      </w:pPr>
      <w:r w:rsidRPr="004E4845">
        <w:rPr>
          <w:rFonts w:ascii="Arial" w:hAnsi="Arial" w:cs="Arial"/>
          <w:b/>
          <w:bCs/>
          <w:kern w:val="0"/>
          <w:sz w:val="28"/>
          <w:szCs w:val="28"/>
        </w:rPr>
        <w:t>Decision No. (22) of 2024</w:t>
      </w:r>
    </w:p>
    <w:p w14:paraId="0233A730" w14:textId="77777777" w:rsidR="004E4845" w:rsidRPr="004E4845" w:rsidRDefault="004E4845" w:rsidP="00536440">
      <w:pPr>
        <w:autoSpaceDE w:val="0"/>
        <w:autoSpaceDN w:val="0"/>
        <w:adjustRightInd w:val="0"/>
        <w:spacing w:before="120" w:after="0" w:line="360" w:lineRule="auto"/>
        <w:jc w:val="center"/>
        <w:rPr>
          <w:rFonts w:ascii="Arial" w:hAnsi="Arial" w:cs="Arial"/>
          <w:b/>
          <w:bCs/>
          <w:kern w:val="0"/>
          <w:sz w:val="28"/>
          <w:szCs w:val="28"/>
        </w:rPr>
      </w:pPr>
      <w:r w:rsidRPr="004E4845">
        <w:rPr>
          <w:rFonts w:ascii="Arial" w:hAnsi="Arial" w:cs="Arial"/>
          <w:b/>
          <w:bCs/>
          <w:kern w:val="0"/>
          <w:sz w:val="28"/>
          <w:szCs w:val="28"/>
        </w:rPr>
        <w:t>Amending Certain Provisions of Order No. (40) of 2021 specifying the Commercial</w:t>
      </w:r>
    </w:p>
    <w:p w14:paraId="12A1855A" w14:textId="77777777" w:rsidR="004E4845" w:rsidRPr="004E4845" w:rsidRDefault="004E4845" w:rsidP="00536440">
      <w:pPr>
        <w:autoSpaceDE w:val="0"/>
        <w:autoSpaceDN w:val="0"/>
        <w:adjustRightInd w:val="0"/>
        <w:spacing w:before="120" w:after="0" w:line="360" w:lineRule="auto"/>
        <w:jc w:val="center"/>
        <w:rPr>
          <w:rFonts w:ascii="Arial" w:hAnsi="Arial" w:cs="Arial"/>
          <w:b/>
          <w:bCs/>
          <w:kern w:val="0"/>
          <w:sz w:val="28"/>
          <w:szCs w:val="28"/>
        </w:rPr>
      </w:pPr>
      <w:r w:rsidRPr="004E4845">
        <w:rPr>
          <w:rFonts w:ascii="Arial" w:hAnsi="Arial" w:cs="Arial"/>
          <w:b/>
          <w:bCs/>
          <w:kern w:val="0"/>
          <w:sz w:val="28"/>
          <w:szCs w:val="28"/>
        </w:rPr>
        <w:t>Activities that Foreign Capital Companies may be licensed to practice</w:t>
      </w:r>
      <w:r w:rsidRPr="004E4845">
        <w:rPr>
          <w:rStyle w:val="FootnoteReference"/>
          <w:rFonts w:ascii="Arial" w:hAnsi="Arial" w:cs="Arial"/>
          <w:b/>
          <w:bCs/>
          <w:kern w:val="0"/>
          <w:sz w:val="28"/>
          <w:szCs w:val="28"/>
        </w:rPr>
        <w:footnoteReference w:id="1"/>
      </w:r>
    </w:p>
    <w:p w14:paraId="598587EA" w14:textId="77777777" w:rsidR="004E4845" w:rsidRPr="004E4845" w:rsidRDefault="004E4845" w:rsidP="00536440">
      <w:pPr>
        <w:autoSpaceDE w:val="0"/>
        <w:autoSpaceDN w:val="0"/>
        <w:adjustRightInd w:val="0"/>
        <w:spacing w:before="120" w:after="0" w:line="360" w:lineRule="auto"/>
        <w:rPr>
          <w:rFonts w:ascii="Arial" w:hAnsi="Arial" w:cs="Arial"/>
          <w:b/>
          <w:bCs/>
          <w:kern w:val="0"/>
          <w:sz w:val="28"/>
          <w:szCs w:val="28"/>
        </w:rPr>
      </w:pPr>
    </w:p>
    <w:p w14:paraId="72BC1204" w14:textId="77777777" w:rsidR="004E4845" w:rsidRPr="004E4845" w:rsidRDefault="004E4845" w:rsidP="00536440">
      <w:pPr>
        <w:autoSpaceDE w:val="0"/>
        <w:autoSpaceDN w:val="0"/>
        <w:adjustRightInd w:val="0"/>
        <w:spacing w:before="120" w:after="0" w:line="360" w:lineRule="auto"/>
        <w:rPr>
          <w:rFonts w:ascii="Arial" w:hAnsi="Arial" w:cs="Arial"/>
          <w:b/>
          <w:bCs/>
          <w:kern w:val="0"/>
          <w:sz w:val="28"/>
          <w:szCs w:val="28"/>
        </w:rPr>
      </w:pPr>
      <w:r w:rsidRPr="004E4845">
        <w:rPr>
          <w:rFonts w:ascii="Arial" w:hAnsi="Arial" w:cs="Arial"/>
          <w:b/>
          <w:bCs/>
          <w:kern w:val="0"/>
          <w:sz w:val="28"/>
          <w:szCs w:val="28"/>
        </w:rPr>
        <w:t>Prime Minister:</w:t>
      </w:r>
    </w:p>
    <w:p w14:paraId="340C26E1" w14:textId="77777777" w:rsidR="004E4845" w:rsidRPr="004E4845" w:rsidRDefault="004E4845" w:rsidP="00536440">
      <w:pPr>
        <w:autoSpaceDE w:val="0"/>
        <w:autoSpaceDN w:val="0"/>
        <w:adjustRightInd w:val="0"/>
        <w:spacing w:before="120" w:after="0" w:line="360" w:lineRule="auto"/>
        <w:rPr>
          <w:rFonts w:ascii="Arial" w:hAnsi="Arial" w:cs="Arial"/>
          <w:b/>
          <w:bCs/>
          <w:kern w:val="0"/>
          <w:sz w:val="28"/>
          <w:szCs w:val="28"/>
        </w:rPr>
      </w:pPr>
    </w:p>
    <w:p w14:paraId="513C504B" w14:textId="77777777" w:rsidR="004E4845" w:rsidRPr="004E4845" w:rsidRDefault="004E4845" w:rsidP="00536440">
      <w:pPr>
        <w:autoSpaceDE w:val="0"/>
        <w:autoSpaceDN w:val="0"/>
        <w:adjustRightInd w:val="0"/>
        <w:spacing w:before="120" w:after="0" w:line="360" w:lineRule="auto"/>
        <w:rPr>
          <w:rFonts w:ascii="Arial" w:hAnsi="Arial" w:cs="Arial"/>
          <w:kern w:val="0"/>
          <w:sz w:val="28"/>
          <w:szCs w:val="28"/>
        </w:rPr>
      </w:pPr>
      <w:r w:rsidRPr="004E4845">
        <w:rPr>
          <w:rFonts w:ascii="Arial" w:hAnsi="Arial" w:cs="Arial"/>
          <w:kern w:val="0"/>
          <w:sz w:val="28"/>
          <w:szCs w:val="28"/>
        </w:rPr>
        <w:t>Having reviewed the Decision No. (40) of 2021 specifying the Commercial Activities that Foreign Capital Companies are allowed to practice, and upon the Proposal of the Minister of Industry and Commerce, and after the approval of the Council of Ministers,</w:t>
      </w:r>
    </w:p>
    <w:p w14:paraId="11E11CD3" w14:textId="77777777" w:rsidR="004E4845" w:rsidRPr="004E4845" w:rsidRDefault="004E4845" w:rsidP="00536440">
      <w:pPr>
        <w:autoSpaceDE w:val="0"/>
        <w:autoSpaceDN w:val="0"/>
        <w:adjustRightInd w:val="0"/>
        <w:spacing w:before="120" w:after="0" w:line="360" w:lineRule="auto"/>
        <w:rPr>
          <w:rFonts w:ascii="Arial" w:hAnsi="Arial" w:cs="Arial"/>
          <w:kern w:val="0"/>
          <w:sz w:val="28"/>
          <w:szCs w:val="28"/>
        </w:rPr>
      </w:pPr>
    </w:p>
    <w:p w14:paraId="041B7A63" w14:textId="77777777" w:rsidR="004E4845" w:rsidRPr="004E4845" w:rsidRDefault="004E4845" w:rsidP="00536440">
      <w:pPr>
        <w:autoSpaceDE w:val="0"/>
        <w:autoSpaceDN w:val="0"/>
        <w:adjustRightInd w:val="0"/>
        <w:spacing w:before="120" w:after="0" w:line="360" w:lineRule="auto"/>
        <w:rPr>
          <w:rFonts w:ascii="Arial" w:hAnsi="Arial" w:cs="Arial"/>
          <w:kern w:val="0"/>
          <w:sz w:val="28"/>
          <w:szCs w:val="28"/>
        </w:rPr>
      </w:pPr>
    </w:p>
    <w:p w14:paraId="2D32D021" w14:textId="77777777" w:rsidR="004E4845" w:rsidRPr="004E4845" w:rsidRDefault="004E4845" w:rsidP="00536440">
      <w:pPr>
        <w:autoSpaceDE w:val="0"/>
        <w:autoSpaceDN w:val="0"/>
        <w:adjustRightInd w:val="0"/>
        <w:spacing w:before="120" w:after="0" w:line="360" w:lineRule="auto"/>
        <w:jc w:val="center"/>
        <w:rPr>
          <w:rFonts w:ascii="Arial" w:hAnsi="Arial" w:cs="Arial"/>
          <w:b/>
          <w:bCs/>
          <w:kern w:val="0"/>
          <w:sz w:val="28"/>
          <w:szCs w:val="28"/>
        </w:rPr>
      </w:pPr>
      <w:r w:rsidRPr="004E4845">
        <w:rPr>
          <w:rFonts w:ascii="Arial" w:hAnsi="Arial" w:cs="Arial"/>
          <w:b/>
          <w:bCs/>
          <w:kern w:val="0"/>
          <w:sz w:val="28"/>
          <w:szCs w:val="28"/>
        </w:rPr>
        <w:t>Hereby decides:</w:t>
      </w:r>
    </w:p>
    <w:p w14:paraId="11674341" w14:textId="77777777" w:rsidR="004E4845" w:rsidRPr="004E4845" w:rsidRDefault="004E4845" w:rsidP="00536440">
      <w:pPr>
        <w:autoSpaceDE w:val="0"/>
        <w:autoSpaceDN w:val="0"/>
        <w:adjustRightInd w:val="0"/>
        <w:spacing w:before="120" w:after="0" w:line="360" w:lineRule="auto"/>
        <w:jc w:val="center"/>
        <w:rPr>
          <w:rFonts w:ascii="Arial" w:hAnsi="Arial" w:cs="Arial"/>
          <w:b/>
          <w:bCs/>
          <w:strike/>
          <w:kern w:val="0"/>
          <w:sz w:val="28"/>
          <w:szCs w:val="28"/>
        </w:rPr>
      </w:pPr>
      <w:r w:rsidRPr="004E4845">
        <w:rPr>
          <w:rFonts w:ascii="Arial" w:hAnsi="Arial" w:cs="Arial"/>
          <w:b/>
          <w:bCs/>
          <w:kern w:val="0"/>
          <w:sz w:val="28"/>
          <w:szCs w:val="28"/>
        </w:rPr>
        <w:t xml:space="preserve">Article One </w:t>
      </w:r>
    </w:p>
    <w:p w14:paraId="418BD01B" w14:textId="77777777" w:rsidR="004E4845" w:rsidRPr="004E4845" w:rsidRDefault="004E4845" w:rsidP="00536440">
      <w:pPr>
        <w:autoSpaceDE w:val="0"/>
        <w:autoSpaceDN w:val="0"/>
        <w:adjustRightInd w:val="0"/>
        <w:spacing w:before="120" w:after="0" w:line="360" w:lineRule="auto"/>
        <w:rPr>
          <w:rFonts w:ascii="Arial" w:hAnsi="Arial" w:cs="Arial"/>
          <w:kern w:val="0"/>
          <w:sz w:val="28"/>
          <w:szCs w:val="28"/>
        </w:rPr>
      </w:pPr>
      <w:r w:rsidRPr="004E4845">
        <w:rPr>
          <w:rFonts w:ascii="Arial" w:hAnsi="Arial" w:cs="Arial"/>
          <w:kern w:val="0"/>
          <w:sz w:val="28"/>
          <w:szCs w:val="28"/>
        </w:rPr>
        <w:t>A new article, numbered (4 bis), shall be added to Decision No. (40) of 2021, Specifying the Commercial Activities that Foreign Capital Companies may be licensed to practice, as follows:</w:t>
      </w:r>
    </w:p>
    <w:p w14:paraId="2BBB7E31" w14:textId="77777777" w:rsidR="004E4845" w:rsidRPr="004E4845" w:rsidRDefault="004E4845" w:rsidP="00536440">
      <w:pPr>
        <w:autoSpaceDE w:val="0"/>
        <w:autoSpaceDN w:val="0"/>
        <w:adjustRightInd w:val="0"/>
        <w:spacing w:before="120" w:after="0" w:line="360" w:lineRule="auto"/>
        <w:rPr>
          <w:rFonts w:ascii="Arial" w:hAnsi="Arial" w:cs="Arial"/>
          <w:kern w:val="0"/>
          <w:sz w:val="28"/>
          <w:szCs w:val="28"/>
        </w:rPr>
      </w:pPr>
      <w:r w:rsidRPr="004E4845">
        <w:rPr>
          <w:rFonts w:ascii="Arial" w:hAnsi="Arial" w:cs="Arial"/>
          <w:kern w:val="0"/>
          <w:sz w:val="28"/>
          <w:szCs w:val="28"/>
        </w:rPr>
        <w:t xml:space="preserve">Companies that are wholly or partially owned - as the case may be - by non-Bahraini partners with a shareholding percentage of up to (100%) may be excluded to practice the activity of the authorized distributor, set </w:t>
      </w:r>
      <w:r w:rsidRPr="004E4845">
        <w:rPr>
          <w:rFonts w:ascii="Arial" w:hAnsi="Arial" w:cs="Arial"/>
          <w:kern w:val="0"/>
          <w:sz w:val="28"/>
          <w:szCs w:val="28"/>
        </w:rPr>
        <w:lastRenderedPageBreak/>
        <w:t>forth in Clause (21) of Schedule No. (2) attached to this Decision, under any of the following circumstances:</w:t>
      </w:r>
    </w:p>
    <w:p w14:paraId="52E4E43C" w14:textId="77777777" w:rsidR="004E4845" w:rsidRPr="004E4845" w:rsidRDefault="004E4845" w:rsidP="00536440">
      <w:pPr>
        <w:pStyle w:val="ListParagraph"/>
        <w:numPr>
          <w:ilvl w:val="0"/>
          <w:numId w:val="2"/>
        </w:numPr>
        <w:autoSpaceDE w:val="0"/>
        <w:autoSpaceDN w:val="0"/>
        <w:adjustRightInd w:val="0"/>
        <w:spacing w:before="120" w:after="0" w:line="360" w:lineRule="auto"/>
        <w:ind w:left="0" w:firstLine="0"/>
        <w:rPr>
          <w:rFonts w:ascii="Arial" w:hAnsi="Arial" w:cs="Arial"/>
          <w:kern w:val="0"/>
          <w:sz w:val="28"/>
          <w:szCs w:val="28"/>
        </w:rPr>
      </w:pPr>
      <w:r w:rsidRPr="004E4845">
        <w:rPr>
          <w:rFonts w:ascii="Arial" w:hAnsi="Arial" w:cs="Arial"/>
          <w:kern w:val="0"/>
          <w:sz w:val="28"/>
          <w:szCs w:val="28"/>
        </w:rPr>
        <w:t>There is an active sole proprietorship or company whose capital is owned by Bahraini partners at a percentage of at least (51 %) that practices the activity of the authorized distributor of the same trademark in the Kingdom of Bahrain.</w:t>
      </w:r>
    </w:p>
    <w:p w14:paraId="3214A1BF" w14:textId="77777777" w:rsidR="004E4845" w:rsidRPr="004E4845" w:rsidRDefault="004E4845" w:rsidP="00536440">
      <w:pPr>
        <w:pStyle w:val="ListParagraph"/>
        <w:numPr>
          <w:ilvl w:val="0"/>
          <w:numId w:val="2"/>
        </w:numPr>
        <w:autoSpaceDE w:val="0"/>
        <w:autoSpaceDN w:val="0"/>
        <w:adjustRightInd w:val="0"/>
        <w:spacing w:before="120" w:after="0" w:line="360" w:lineRule="auto"/>
        <w:ind w:left="0" w:firstLine="0"/>
        <w:rPr>
          <w:rFonts w:ascii="Arial" w:hAnsi="Arial" w:cs="Arial"/>
          <w:kern w:val="0"/>
          <w:sz w:val="28"/>
          <w:szCs w:val="28"/>
        </w:rPr>
      </w:pPr>
      <w:r w:rsidRPr="004E4845">
        <w:rPr>
          <w:rFonts w:ascii="Arial" w:hAnsi="Arial" w:cs="Arial"/>
          <w:kern w:val="0"/>
          <w:sz w:val="28"/>
          <w:szCs w:val="28"/>
        </w:rPr>
        <w:t>The company that owns the international brand distributes its products within the Kingdom of Bahrain.</w:t>
      </w:r>
    </w:p>
    <w:p w14:paraId="5C8DEEF5" w14:textId="77777777" w:rsidR="004E4845" w:rsidRPr="004E4845" w:rsidRDefault="004E4845" w:rsidP="00536440">
      <w:pPr>
        <w:pStyle w:val="ListParagraph"/>
        <w:numPr>
          <w:ilvl w:val="0"/>
          <w:numId w:val="2"/>
        </w:numPr>
        <w:autoSpaceDE w:val="0"/>
        <w:autoSpaceDN w:val="0"/>
        <w:adjustRightInd w:val="0"/>
        <w:spacing w:before="120" w:after="0" w:line="360" w:lineRule="auto"/>
        <w:ind w:left="0" w:firstLine="0"/>
        <w:rPr>
          <w:rFonts w:ascii="Arial" w:hAnsi="Arial" w:cs="Arial"/>
          <w:kern w:val="0"/>
          <w:sz w:val="28"/>
          <w:szCs w:val="28"/>
        </w:rPr>
      </w:pPr>
      <w:r w:rsidRPr="004E4845">
        <w:rPr>
          <w:rFonts w:ascii="Arial" w:hAnsi="Arial" w:cs="Arial"/>
          <w:kern w:val="0"/>
          <w:sz w:val="28"/>
          <w:szCs w:val="28"/>
        </w:rPr>
        <w:t>The company must be of economic importance according to the criteria determined by the Minister of Commerce, after the approval of the Council of Ministers.</w:t>
      </w:r>
    </w:p>
    <w:p w14:paraId="4C150D49" w14:textId="77777777" w:rsidR="004E4845" w:rsidRPr="004E4845" w:rsidRDefault="004E4845" w:rsidP="00536440">
      <w:pPr>
        <w:pStyle w:val="ListParagraph"/>
        <w:autoSpaceDE w:val="0"/>
        <w:autoSpaceDN w:val="0"/>
        <w:adjustRightInd w:val="0"/>
        <w:spacing w:before="120" w:after="0" w:line="360" w:lineRule="auto"/>
        <w:ind w:left="0"/>
        <w:rPr>
          <w:rFonts w:ascii="Arial" w:hAnsi="Arial" w:cs="Arial"/>
          <w:kern w:val="0"/>
          <w:sz w:val="28"/>
          <w:szCs w:val="28"/>
        </w:rPr>
      </w:pPr>
    </w:p>
    <w:p w14:paraId="5EAB9304" w14:textId="77777777" w:rsidR="004E4845" w:rsidRPr="004E4845" w:rsidRDefault="004E4845" w:rsidP="00536440">
      <w:pPr>
        <w:autoSpaceDE w:val="0"/>
        <w:autoSpaceDN w:val="0"/>
        <w:adjustRightInd w:val="0"/>
        <w:spacing w:before="120" w:after="0" w:line="360" w:lineRule="auto"/>
        <w:jc w:val="center"/>
        <w:rPr>
          <w:rFonts w:ascii="Arial" w:hAnsi="Arial" w:cs="Arial"/>
          <w:b/>
          <w:bCs/>
          <w:kern w:val="0"/>
          <w:sz w:val="28"/>
          <w:szCs w:val="28"/>
        </w:rPr>
      </w:pPr>
      <w:r w:rsidRPr="004E4845">
        <w:rPr>
          <w:rFonts w:ascii="Arial" w:hAnsi="Arial" w:cs="Arial"/>
          <w:b/>
          <w:bCs/>
          <w:kern w:val="0"/>
          <w:sz w:val="28"/>
          <w:szCs w:val="28"/>
        </w:rPr>
        <w:t xml:space="preserve">Article Two </w:t>
      </w:r>
    </w:p>
    <w:p w14:paraId="7733F710" w14:textId="77777777" w:rsidR="004E4845" w:rsidRPr="004E4845" w:rsidRDefault="004E4845" w:rsidP="00536440">
      <w:pPr>
        <w:autoSpaceDE w:val="0"/>
        <w:autoSpaceDN w:val="0"/>
        <w:adjustRightInd w:val="0"/>
        <w:spacing w:before="120" w:after="0" w:line="360" w:lineRule="auto"/>
        <w:rPr>
          <w:rFonts w:ascii="Arial" w:hAnsi="Arial" w:cs="Arial"/>
          <w:kern w:val="0"/>
          <w:sz w:val="28"/>
          <w:szCs w:val="28"/>
        </w:rPr>
      </w:pPr>
      <w:r w:rsidRPr="004E4845">
        <w:rPr>
          <w:rFonts w:ascii="Arial" w:hAnsi="Arial" w:cs="Arial"/>
          <w:kern w:val="0"/>
          <w:sz w:val="28"/>
          <w:szCs w:val="28"/>
        </w:rPr>
        <w:t>A new clause No. (21) shall be added to Schedule No. (2) of Decision No. (40) of 2021, specifying the Commercial Activities that the Foreign Capital Companies may be licensed to practice, as follows:</w:t>
      </w:r>
    </w:p>
    <w:p w14:paraId="1F9A0F42" w14:textId="77777777" w:rsidR="004E4845" w:rsidRPr="004E4845" w:rsidRDefault="004E4845" w:rsidP="00536440">
      <w:pPr>
        <w:autoSpaceDE w:val="0"/>
        <w:autoSpaceDN w:val="0"/>
        <w:adjustRightInd w:val="0"/>
        <w:spacing w:before="120" w:after="0" w:line="360" w:lineRule="auto"/>
        <w:rPr>
          <w:rFonts w:ascii="Arial" w:hAnsi="Arial" w:cs="Arial"/>
          <w:kern w:val="0"/>
          <w:sz w:val="28"/>
          <w:szCs w:val="28"/>
        </w:rPr>
      </w:pPr>
    </w:p>
    <w:tbl>
      <w:tblPr>
        <w:tblStyle w:val="TableGrid"/>
        <w:tblW w:w="0" w:type="auto"/>
        <w:tblInd w:w="0" w:type="dxa"/>
        <w:tblLook w:val="04A0" w:firstRow="1" w:lastRow="0" w:firstColumn="1" w:lastColumn="0" w:noHBand="0" w:noVBand="1"/>
      </w:tblPr>
      <w:tblGrid>
        <w:gridCol w:w="2996"/>
        <w:gridCol w:w="3019"/>
        <w:gridCol w:w="3047"/>
      </w:tblGrid>
      <w:tr w:rsidR="005B3CF0" w:rsidRPr="004E4845" w14:paraId="56A8DCA8" w14:textId="77777777">
        <w:tc>
          <w:tcPr>
            <w:tcW w:w="3116" w:type="dxa"/>
            <w:tcBorders>
              <w:top w:val="single" w:sz="4" w:space="0" w:color="auto"/>
              <w:left w:val="single" w:sz="4" w:space="0" w:color="auto"/>
              <w:bottom w:val="single" w:sz="4" w:space="0" w:color="auto"/>
              <w:right w:val="single" w:sz="4" w:space="0" w:color="auto"/>
            </w:tcBorders>
            <w:hideMark/>
          </w:tcPr>
          <w:p w14:paraId="744826EC" w14:textId="77777777" w:rsidR="004E4845" w:rsidRPr="004E4845" w:rsidRDefault="004E4845" w:rsidP="00536440">
            <w:pPr>
              <w:autoSpaceDE w:val="0"/>
              <w:autoSpaceDN w:val="0"/>
              <w:adjustRightInd w:val="0"/>
              <w:spacing w:before="120" w:after="0" w:line="360" w:lineRule="auto"/>
              <w:rPr>
                <w:rFonts w:ascii="Arial" w:hAnsi="Arial" w:cs="Arial"/>
                <w:kern w:val="0"/>
                <w:sz w:val="28"/>
                <w:szCs w:val="28"/>
              </w:rPr>
            </w:pPr>
            <w:r w:rsidRPr="004E4845">
              <w:rPr>
                <w:rFonts w:ascii="Arial" w:hAnsi="Arial" w:cs="Arial"/>
                <w:kern w:val="0"/>
                <w:sz w:val="28"/>
                <w:szCs w:val="28"/>
              </w:rPr>
              <w:t>No.</w:t>
            </w:r>
          </w:p>
        </w:tc>
        <w:tc>
          <w:tcPr>
            <w:tcW w:w="3117" w:type="dxa"/>
            <w:tcBorders>
              <w:top w:val="single" w:sz="4" w:space="0" w:color="auto"/>
              <w:left w:val="single" w:sz="4" w:space="0" w:color="auto"/>
              <w:bottom w:val="single" w:sz="4" w:space="0" w:color="auto"/>
              <w:right w:val="single" w:sz="4" w:space="0" w:color="auto"/>
            </w:tcBorders>
            <w:hideMark/>
          </w:tcPr>
          <w:p w14:paraId="0F0A24AC" w14:textId="77777777" w:rsidR="004E4845" w:rsidRPr="004E4845" w:rsidRDefault="004E4845" w:rsidP="00536440">
            <w:pPr>
              <w:autoSpaceDE w:val="0"/>
              <w:autoSpaceDN w:val="0"/>
              <w:adjustRightInd w:val="0"/>
              <w:spacing w:before="120" w:after="0" w:line="360" w:lineRule="auto"/>
              <w:rPr>
                <w:rFonts w:ascii="Arial" w:hAnsi="Arial" w:cs="Arial"/>
                <w:kern w:val="0"/>
                <w:sz w:val="28"/>
                <w:szCs w:val="28"/>
              </w:rPr>
            </w:pPr>
            <w:r w:rsidRPr="004E4845">
              <w:rPr>
                <w:rFonts w:ascii="Arial" w:hAnsi="Arial" w:cs="Arial"/>
                <w:kern w:val="0"/>
                <w:sz w:val="28"/>
                <w:szCs w:val="28"/>
              </w:rPr>
              <w:t>Activity Code</w:t>
            </w:r>
          </w:p>
        </w:tc>
        <w:tc>
          <w:tcPr>
            <w:tcW w:w="3117" w:type="dxa"/>
            <w:tcBorders>
              <w:top w:val="single" w:sz="4" w:space="0" w:color="auto"/>
              <w:left w:val="single" w:sz="4" w:space="0" w:color="auto"/>
              <w:bottom w:val="single" w:sz="4" w:space="0" w:color="auto"/>
              <w:right w:val="single" w:sz="4" w:space="0" w:color="auto"/>
            </w:tcBorders>
            <w:hideMark/>
          </w:tcPr>
          <w:p w14:paraId="132D948F" w14:textId="77777777" w:rsidR="004E4845" w:rsidRPr="004E4845" w:rsidRDefault="004E4845" w:rsidP="00536440">
            <w:pPr>
              <w:autoSpaceDE w:val="0"/>
              <w:autoSpaceDN w:val="0"/>
              <w:adjustRightInd w:val="0"/>
              <w:spacing w:before="120" w:after="0" w:line="360" w:lineRule="auto"/>
              <w:rPr>
                <w:rFonts w:ascii="Arial" w:hAnsi="Arial" w:cs="Arial"/>
                <w:kern w:val="0"/>
                <w:sz w:val="28"/>
                <w:szCs w:val="28"/>
              </w:rPr>
            </w:pPr>
            <w:r w:rsidRPr="004E4845">
              <w:rPr>
                <w:rFonts w:ascii="Arial" w:hAnsi="Arial" w:cs="Arial"/>
                <w:kern w:val="0"/>
                <w:sz w:val="28"/>
                <w:szCs w:val="28"/>
              </w:rPr>
              <w:t>Activity Name</w:t>
            </w:r>
          </w:p>
        </w:tc>
      </w:tr>
      <w:tr w:rsidR="005B3CF0" w:rsidRPr="004E4845" w14:paraId="69240996" w14:textId="77777777">
        <w:tc>
          <w:tcPr>
            <w:tcW w:w="3116" w:type="dxa"/>
            <w:tcBorders>
              <w:top w:val="single" w:sz="4" w:space="0" w:color="auto"/>
              <w:left w:val="single" w:sz="4" w:space="0" w:color="auto"/>
              <w:bottom w:val="single" w:sz="4" w:space="0" w:color="auto"/>
              <w:right w:val="single" w:sz="4" w:space="0" w:color="auto"/>
            </w:tcBorders>
            <w:hideMark/>
          </w:tcPr>
          <w:p w14:paraId="27260767" w14:textId="77777777" w:rsidR="004E4845" w:rsidRPr="004E4845" w:rsidRDefault="004E4845" w:rsidP="00536440">
            <w:pPr>
              <w:autoSpaceDE w:val="0"/>
              <w:autoSpaceDN w:val="0"/>
              <w:adjustRightInd w:val="0"/>
              <w:spacing w:before="120" w:after="0" w:line="360" w:lineRule="auto"/>
              <w:rPr>
                <w:rFonts w:ascii="Arial" w:hAnsi="Arial" w:cs="Arial"/>
                <w:kern w:val="0"/>
                <w:sz w:val="28"/>
                <w:szCs w:val="28"/>
              </w:rPr>
            </w:pPr>
            <w:r w:rsidRPr="004E4845">
              <w:rPr>
                <w:rFonts w:ascii="Arial" w:hAnsi="Arial" w:cs="Arial"/>
                <w:b/>
                <w:bCs/>
                <w:kern w:val="0"/>
                <w:sz w:val="28"/>
                <w:szCs w:val="28"/>
              </w:rPr>
              <w:t>21</w:t>
            </w:r>
          </w:p>
        </w:tc>
        <w:tc>
          <w:tcPr>
            <w:tcW w:w="3117" w:type="dxa"/>
            <w:tcBorders>
              <w:top w:val="single" w:sz="4" w:space="0" w:color="auto"/>
              <w:left w:val="single" w:sz="4" w:space="0" w:color="auto"/>
              <w:bottom w:val="single" w:sz="4" w:space="0" w:color="auto"/>
              <w:right w:val="single" w:sz="4" w:space="0" w:color="auto"/>
            </w:tcBorders>
            <w:hideMark/>
          </w:tcPr>
          <w:p w14:paraId="78F6C33F" w14:textId="77777777" w:rsidR="004E4845" w:rsidRPr="004E4845" w:rsidRDefault="004E4845" w:rsidP="00536440">
            <w:pPr>
              <w:autoSpaceDE w:val="0"/>
              <w:autoSpaceDN w:val="0"/>
              <w:adjustRightInd w:val="0"/>
              <w:spacing w:before="120" w:after="0" w:line="360" w:lineRule="auto"/>
              <w:rPr>
                <w:rFonts w:ascii="Arial" w:hAnsi="Arial" w:cs="Arial"/>
                <w:kern w:val="0"/>
                <w:sz w:val="28"/>
                <w:szCs w:val="28"/>
              </w:rPr>
            </w:pPr>
            <w:r w:rsidRPr="004E4845">
              <w:rPr>
                <w:rFonts w:ascii="Arial" w:hAnsi="Arial" w:cs="Arial"/>
                <w:b/>
                <w:bCs/>
                <w:kern w:val="0"/>
                <w:sz w:val="28"/>
                <w:szCs w:val="28"/>
              </w:rPr>
              <w:t>4699</w:t>
            </w:r>
          </w:p>
        </w:tc>
        <w:tc>
          <w:tcPr>
            <w:tcW w:w="3117" w:type="dxa"/>
            <w:tcBorders>
              <w:top w:val="single" w:sz="4" w:space="0" w:color="auto"/>
              <w:left w:val="single" w:sz="4" w:space="0" w:color="auto"/>
              <w:bottom w:val="single" w:sz="4" w:space="0" w:color="auto"/>
              <w:right w:val="single" w:sz="4" w:space="0" w:color="auto"/>
            </w:tcBorders>
            <w:hideMark/>
          </w:tcPr>
          <w:p w14:paraId="2DAD3702" w14:textId="77777777" w:rsidR="004E4845" w:rsidRPr="004E4845" w:rsidRDefault="004E4845" w:rsidP="00536440">
            <w:pPr>
              <w:autoSpaceDE w:val="0"/>
              <w:autoSpaceDN w:val="0"/>
              <w:adjustRightInd w:val="0"/>
              <w:spacing w:before="120" w:after="0" w:line="360" w:lineRule="auto"/>
              <w:rPr>
                <w:rFonts w:ascii="Arial" w:hAnsi="Arial" w:cs="Arial"/>
                <w:b/>
                <w:bCs/>
                <w:kern w:val="0"/>
                <w:sz w:val="28"/>
                <w:szCs w:val="28"/>
              </w:rPr>
            </w:pPr>
            <w:r w:rsidRPr="004E4845">
              <w:rPr>
                <w:rFonts w:ascii="Arial" w:hAnsi="Arial" w:cs="Arial"/>
                <w:b/>
                <w:bCs/>
                <w:kern w:val="0"/>
                <w:sz w:val="28"/>
                <w:szCs w:val="28"/>
              </w:rPr>
              <w:t>Authorized Distributor</w:t>
            </w:r>
          </w:p>
        </w:tc>
      </w:tr>
    </w:tbl>
    <w:p w14:paraId="2690B2BC" w14:textId="77777777" w:rsidR="004E4845" w:rsidRPr="004E4845" w:rsidRDefault="004E4845" w:rsidP="00536440">
      <w:pPr>
        <w:autoSpaceDE w:val="0"/>
        <w:autoSpaceDN w:val="0"/>
        <w:adjustRightInd w:val="0"/>
        <w:spacing w:before="120" w:after="0" w:line="360" w:lineRule="auto"/>
        <w:rPr>
          <w:rFonts w:ascii="Arial" w:hAnsi="Arial" w:cs="Arial"/>
          <w:kern w:val="0"/>
          <w:sz w:val="28"/>
          <w:szCs w:val="28"/>
        </w:rPr>
      </w:pPr>
    </w:p>
    <w:p w14:paraId="182597B6" w14:textId="77777777" w:rsidR="004E4845" w:rsidRPr="004E4845" w:rsidRDefault="004E4845" w:rsidP="00536440">
      <w:pPr>
        <w:autoSpaceDE w:val="0"/>
        <w:autoSpaceDN w:val="0"/>
        <w:adjustRightInd w:val="0"/>
        <w:spacing w:before="120" w:after="0" w:line="360" w:lineRule="auto"/>
        <w:rPr>
          <w:rFonts w:ascii="Arial" w:hAnsi="Arial" w:cs="Arial"/>
          <w:b/>
          <w:bCs/>
          <w:kern w:val="0"/>
          <w:sz w:val="28"/>
          <w:szCs w:val="28"/>
        </w:rPr>
      </w:pPr>
    </w:p>
    <w:p w14:paraId="7539EA8B" w14:textId="77777777" w:rsidR="004E4845" w:rsidRPr="004E4845" w:rsidRDefault="004E4845" w:rsidP="00536440">
      <w:pPr>
        <w:autoSpaceDE w:val="0"/>
        <w:autoSpaceDN w:val="0"/>
        <w:adjustRightInd w:val="0"/>
        <w:spacing w:before="120" w:after="0" w:line="360" w:lineRule="auto"/>
        <w:rPr>
          <w:rFonts w:ascii="Arial" w:hAnsi="Arial" w:cs="Arial"/>
          <w:b/>
          <w:bCs/>
          <w:kern w:val="0"/>
          <w:sz w:val="28"/>
          <w:szCs w:val="28"/>
        </w:rPr>
      </w:pPr>
    </w:p>
    <w:p w14:paraId="49E7D6FF" w14:textId="77777777" w:rsidR="004E4845" w:rsidRPr="004E4845" w:rsidRDefault="004E4845" w:rsidP="00536440">
      <w:pPr>
        <w:autoSpaceDE w:val="0"/>
        <w:autoSpaceDN w:val="0"/>
        <w:adjustRightInd w:val="0"/>
        <w:spacing w:before="120" w:after="0" w:line="360" w:lineRule="auto"/>
        <w:jc w:val="center"/>
        <w:rPr>
          <w:rFonts w:ascii="Arial" w:hAnsi="Arial" w:cs="Arial"/>
          <w:b/>
          <w:bCs/>
          <w:kern w:val="0"/>
          <w:sz w:val="28"/>
          <w:szCs w:val="28"/>
        </w:rPr>
      </w:pPr>
      <w:r w:rsidRPr="004E4845">
        <w:rPr>
          <w:rFonts w:ascii="Arial" w:hAnsi="Arial" w:cs="Arial"/>
          <w:b/>
          <w:bCs/>
          <w:kern w:val="0"/>
          <w:sz w:val="28"/>
          <w:szCs w:val="28"/>
        </w:rPr>
        <w:t>Article Three</w:t>
      </w:r>
    </w:p>
    <w:p w14:paraId="5E2FE241" w14:textId="77777777" w:rsidR="004E4845" w:rsidRPr="004E4845" w:rsidRDefault="004E4845" w:rsidP="00536440">
      <w:pPr>
        <w:autoSpaceDE w:val="0"/>
        <w:autoSpaceDN w:val="0"/>
        <w:adjustRightInd w:val="0"/>
        <w:spacing w:before="120" w:after="0" w:line="360" w:lineRule="auto"/>
        <w:rPr>
          <w:rFonts w:ascii="Arial" w:hAnsi="Arial" w:cs="Arial"/>
          <w:kern w:val="0"/>
          <w:sz w:val="28"/>
          <w:szCs w:val="28"/>
        </w:rPr>
      </w:pPr>
      <w:r w:rsidRPr="004E4845">
        <w:rPr>
          <w:rFonts w:ascii="Arial" w:hAnsi="Arial" w:cs="Arial"/>
          <w:kern w:val="0"/>
          <w:sz w:val="28"/>
          <w:szCs w:val="28"/>
        </w:rPr>
        <w:t>The application of the provisions of this Decision is without prejudice to companies practicing the approved distribution activity prior to the implementation of the provisions of this Decision without the presence of a Bahraini partner whose percentage of ownership reaches at least (51%) of the capital. This is subject to the conditions and controls for practicing the activity of the authorized distributor, as issued by a Decision of the Minister of Commerce, after the approval of the Council of Ministers.</w:t>
      </w:r>
    </w:p>
    <w:p w14:paraId="6E07CDD9" w14:textId="77777777" w:rsidR="004E4845" w:rsidRPr="004E4845" w:rsidRDefault="004E4845" w:rsidP="00536440">
      <w:pPr>
        <w:autoSpaceDE w:val="0"/>
        <w:autoSpaceDN w:val="0"/>
        <w:adjustRightInd w:val="0"/>
        <w:spacing w:before="120" w:after="0" w:line="360" w:lineRule="auto"/>
        <w:rPr>
          <w:rFonts w:ascii="Arial" w:hAnsi="Arial" w:cs="Arial"/>
          <w:kern w:val="0"/>
          <w:sz w:val="28"/>
          <w:szCs w:val="28"/>
        </w:rPr>
      </w:pPr>
    </w:p>
    <w:p w14:paraId="3C70EFCC" w14:textId="77777777" w:rsidR="004E4845" w:rsidRPr="004E4845" w:rsidRDefault="004E4845" w:rsidP="00536440">
      <w:pPr>
        <w:autoSpaceDE w:val="0"/>
        <w:autoSpaceDN w:val="0"/>
        <w:adjustRightInd w:val="0"/>
        <w:spacing w:before="120" w:after="0" w:line="360" w:lineRule="auto"/>
        <w:rPr>
          <w:rFonts w:ascii="Arial" w:hAnsi="Arial" w:cs="Arial"/>
          <w:kern w:val="0"/>
          <w:sz w:val="28"/>
          <w:szCs w:val="28"/>
        </w:rPr>
      </w:pPr>
    </w:p>
    <w:p w14:paraId="53AC4996" w14:textId="77777777" w:rsidR="004E4845" w:rsidRPr="004E4845" w:rsidRDefault="004E4845" w:rsidP="00536440">
      <w:pPr>
        <w:autoSpaceDE w:val="0"/>
        <w:autoSpaceDN w:val="0"/>
        <w:adjustRightInd w:val="0"/>
        <w:spacing w:before="120" w:after="0" w:line="360" w:lineRule="auto"/>
        <w:jc w:val="center"/>
        <w:rPr>
          <w:rFonts w:ascii="Arial" w:hAnsi="Arial" w:cs="Arial"/>
          <w:b/>
          <w:bCs/>
          <w:kern w:val="0"/>
          <w:sz w:val="28"/>
          <w:szCs w:val="28"/>
        </w:rPr>
      </w:pPr>
      <w:r w:rsidRPr="004E4845">
        <w:rPr>
          <w:rFonts w:ascii="Arial" w:hAnsi="Arial" w:cs="Arial"/>
          <w:b/>
          <w:bCs/>
          <w:kern w:val="0"/>
          <w:sz w:val="28"/>
          <w:szCs w:val="28"/>
        </w:rPr>
        <w:t>Article Four</w:t>
      </w:r>
    </w:p>
    <w:p w14:paraId="138FEF97" w14:textId="77777777" w:rsidR="004E4845" w:rsidRPr="004E4845" w:rsidRDefault="004E4845" w:rsidP="00536440">
      <w:pPr>
        <w:autoSpaceDE w:val="0"/>
        <w:autoSpaceDN w:val="0"/>
        <w:adjustRightInd w:val="0"/>
        <w:spacing w:before="120" w:after="0" w:line="360" w:lineRule="auto"/>
        <w:rPr>
          <w:rFonts w:ascii="Arial" w:hAnsi="Arial" w:cs="Arial"/>
          <w:kern w:val="0"/>
          <w:sz w:val="28"/>
          <w:szCs w:val="28"/>
        </w:rPr>
      </w:pPr>
      <w:r w:rsidRPr="004E4845">
        <w:rPr>
          <w:rFonts w:ascii="Arial" w:hAnsi="Arial" w:cs="Arial"/>
          <w:kern w:val="0"/>
          <w:sz w:val="28"/>
          <w:szCs w:val="28"/>
        </w:rPr>
        <w:t>The Minister of Industry and Commerce shall implement the provisions of this Decision. It shall come into force the day following its publication in the Official Gazette.</w:t>
      </w:r>
    </w:p>
    <w:p w14:paraId="13E71D25" w14:textId="77777777" w:rsidR="004E4845" w:rsidRPr="004E4845" w:rsidRDefault="004E4845" w:rsidP="00536440">
      <w:pPr>
        <w:spacing w:before="120" w:after="0" w:line="360" w:lineRule="auto"/>
        <w:rPr>
          <w:rFonts w:ascii="Arial" w:hAnsi="Arial" w:cs="Arial"/>
          <w:kern w:val="0"/>
          <w:sz w:val="28"/>
          <w:szCs w:val="28"/>
        </w:rPr>
      </w:pPr>
      <w:r w:rsidRPr="004E4845">
        <w:rPr>
          <w:rFonts w:ascii="Arial" w:hAnsi="Arial" w:cs="Arial"/>
          <w:kern w:val="0"/>
          <w:sz w:val="28"/>
          <w:szCs w:val="28"/>
        </w:rPr>
        <w:t xml:space="preserve"> </w:t>
      </w:r>
    </w:p>
    <w:p w14:paraId="2455CB24" w14:textId="77777777" w:rsidR="004E4845" w:rsidRPr="004E4845" w:rsidRDefault="004E4845" w:rsidP="00536440">
      <w:pPr>
        <w:autoSpaceDE w:val="0"/>
        <w:autoSpaceDN w:val="0"/>
        <w:adjustRightInd w:val="0"/>
        <w:spacing w:before="120" w:after="0" w:line="360" w:lineRule="auto"/>
        <w:rPr>
          <w:rFonts w:ascii="Arial" w:hAnsi="Arial" w:cs="Arial"/>
          <w:kern w:val="0"/>
          <w:sz w:val="28"/>
          <w:szCs w:val="28"/>
        </w:rPr>
      </w:pPr>
    </w:p>
    <w:p w14:paraId="0A5EEE7C" w14:textId="77777777" w:rsidR="004E4845" w:rsidRPr="004E4845" w:rsidRDefault="004E4845" w:rsidP="00536440">
      <w:pPr>
        <w:autoSpaceDE w:val="0"/>
        <w:autoSpaceDN w:val="0"/>
        <w:adjustRightInd w:val="0"/>
        <w:spacing w:before="120" w:after="0" w:line="360" w:lineRule="auto"/>
        <w:jc w:val="center"/>
        <w:rPr>
          <w:rFonts w:ascii="Arial" w:hAnsi="Arial" w:cs="Arial"/>
          <w:b/>
          <w:bCs/>
          <w:kern w:val="0"/>
          <w:sz w:val="28"/>
          <w:szCs w:val="28"/>
        </w:rPr>
      </w:pPr>
      <w:r w:rsidRPr="004E4845">
        <w:rPr>
          <w:rFonts w:ascii="Arial" w:hAnsi="Arial" w:cs="Arial"/>
          <w:b/>
          <w:bCs/>
          <w:kern w:val="0"/>
          <w:sz w:val="28"/>
          <w:szCs w:val="28"/>
        </w:rPr>
        <w:t xml:space="preserve">                                                                                 Prime Minister</w:t>
      </w:r>
    </w:p>
    <w:p w14:paraId="76EFCCAE" w14:textId="77777777" w:rsidR="004E4845" w:rsidRPr="004E4845" w:rsidRDefault="004E4845" w:rsidP="00536440">
      <w:pPr>
        <w:autoSpaceDE w:val="0"/>
        <w:autoSpaceDN w:val="0"/>
        <w:adjustRightInd w:val="0"/>
        <w:spacing w:before="120" w:after="0" w:line="360" w:lineRule="auto"/>
        <w:jc w:val="right"/>
        <w:rPr>
          <w:rFonts w:ascii="Arial" w:hAnsi="Arial" w:cs="Arial"/>
          <w:b/>
          <w:bCs/>
          <w:kern w:val="0"/>
          <w:sz w:val="28"/>
          <w:szCs w:val="28"/>
        </w:rPr>
      </w:pPr>
      <w:r w:rsidRPr="004E4845">
        <w:rPr>
          <w:rFonts w:ascii="Arial" w:hAnsi="Arial" w:cs="Arial"/>
          <w:b/>
          <w:bCs/>
          <w:kern w:val="0"/>
          <w:sz w:val="28"/>
          <w:szCs w:val="28"/>
        </w:rPr>
        <w:t>Salman Bin Hamad Al Khalifa</w:t>
      </w:r>
    </w:p>
    <w:p w14:paraId="688C33E8" w14:textId="77777777" w:rsidR="004E4845" w:rsidRPr="004E4845" w:rsidRDefault="004E4845" w:rsidP="00536440">
      <w:pPr>
        <w:spacing w:before="120" w:after="0" w:line="360" w:lineRule="auto"/>
        <w:rPr>
          <w:rFonts w:ascii="Arial" w:hAnsi="Arial" w:cs="Arial"/>
          <w:kern w:val="0"/>
          <w:sz w:val="28"/>
          <w:szCs w:val="28"/>
        </w:rPr>
      </w:pPr>
    </w:p>
    <w:p w14:paraId="65B03F7E" w14:textId="77777777" w:rsidR="004E4845" w:rsidRPr="004E4845" w:rsidRDefault="004E4845" w:rsidP="00536440">
      <w:pPr>
        <w:spacing w:before="120" w:after="0" w:line="360" w:lineRule="auto"/>
        <w:rPr>
          <w:rFonts w:ascii="Arial" w:hAnsi="Arial" w:cs="Arial"/>
          <w:kern w:val="0"/>
          <w:sz w:val="28"/>
          <w:szCs w:val="28"/>
        </w:rPr>
      </w:pPr>
    </w:p>
    <w:p w14:paraId="3580BA69" w14:textId="77777777" w:rsidR="004E4845" w:rsidRPr="004E4845" w:rsidRDefault="004E4845" w:rsidP="00536440">
      <w:pPr>
        <w:spacing w:before="120" w:after="0" w:line="360" w:lineRule="auto"/>
        <w:rPr>
          <w:rFonts w:ascii="Arial" w:hAnsi="Arial" w:cs="Arial"/>
          <w:kern w:val="0"/>
          <w:sz w:val="28"/>
          <w:szCs w:val="28"/>
        </w:rPr>
      </w:pPr>
    </w:p>
    <w:p w14:paraId="267C2EBB" w14:textId="77777777" w:rsidR="004E4845" w:rsidRPr="004E4845" w:rsidRDefault="004E4845" w:rsidP="00536440">
      <w:pPr>
        <w:spacing w:before="120" w:after="0" w:line="360" w:lineRule="auto"/>
        <w:rPr>
          <w:rFonts w:ascii="Arial" w:hAnsi="Arial" w:cs="Arial"/>
          <w:kern w:val="0"/>
          <w:sz w:val="28"/>
          <w:szCs w:val="28"/>
        </w:rPr>
      </w:pPr>
    </w:p>
    <w:p w14:paraId="05197495" w14:textId="77777777" w:rsidR="004E4845" w:rsidRPr="004E4845" w:rsidRDefault="004E4845" w:rsidP="00536440">
      <w:pPr>
        <w:spacing w:before="120" w:after="0" w:line="360" w:lineRule="auto"/>
        <w:rPr>
          <w:rFonts w:ascii="Arial" w:hAnsi="Arial" w:cs="Arial"/>
          <w:kern w:val="0"/>
          <w:sz w:val="28"/>
          <w:szCs w:val="28"/>
        </w:rPr>
      </w:pPr>
      <w:r w:rsidRPr="004E4845">
        <w:rPr>
          <w:rFonts w:ascii="Arial" w:hAnsi="Arial" w:cs="Arial"/>
          <w:kern w:val="0"/>
          <w:sz w:val="28"/>
          <w:szCs w:val="28"/>
        </w:rPr>
        <w:t>Issued on: Shawwal 7, 1445 AH, corresponding to April 16, 2024 AD.</w:t>
      </w:r>
    </w:p>
    <w:sectPr w:rsidR="004E4845" w:rsidRPr="004E4845" w:rsidSect="00917B82">
      <w:pgSz w:w="11906" w:h="16838"/>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64D57F" w14:textId="77777777" w:rsidR="004E4845" w:rsidRDefault="004E4845">
      <w:pPr>
        <w:spacing w:after="0" w:line="240" w:lineRule="auto"/>
      </w:pPr>
      <w:r>
        <w:separator/>
      </w:r>
    </w:p>
  </w:endnote>
  <w:endnote w:type="continuationSeparator" w:id="0">
    <w:p w14:paraId="50DB5F84" w14:textId="77777777" w:rsidR="004E4845" w:rsidRDefault="004E4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6D8E64" w14:textId="77777777" w:rsidR="004E4845" w:rsidRDefault="004E4845">
      <w:pPr>
        <w:spacing w:after="0" w:line="240" w:lineRule="auto"/>
      </w:pPr>
      <w:r>
        <w:separator/>
      </w:r>
    </w:p>
  </w:footnote>
  <w:footnote w:type="continuationSeparator" w:id="0">
    <w:p w14:paraId="7D2F617E" w14:textId="77777777" w:rsidR="004E4845" w:rsidRDefault="004E4845">
      <w:pPr>
        <w:spacing w:after="0" w:line="240" w:lineRule="auto"/>
      </w:pPr>
      <w:r>
        <w:continuationSeparator/>
      </w:r>
    </w:p>
  </w:footnote>
  <w:footnote w:id="1">
    <w:p w14:paraId="51BFEC49" w14:textId="77777777" w:rsidR="004E4845" w:rsidRDefault="004E4845">
      <w:pPr>
        <w:pStyle w:val="FootnoteText"/>
      </w:pPr>
      <w:r>
        <w:rPr>
          <w:rStyle w:val="FootnoteReference"/>
        </w:rPr>
        <w:footnoteRef/>
      </w:r>
      <w:r>
        <w:t xml:space="preserve"> </w:t>
      </w:r>
      <w:r>
        <w:rPr>
          <w:lang w:val="en-GB"/>
        </w:rPr>
        <w:t>This is an unofficial translation and in the event of any conflict or discrepancy between the English text and the Arabic text, the Arabic text shall prevail.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29A7911"/>
    <w:multiLevelType w:val="hybridMultilevel"/>
    <w:tmpl w:val="565452AE"/>
    <w:lvl w:ilvl="0" w:tplc="AE103EE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9999386">
    <w:abstractNumId w:val="0"/>
  </w:num>
  <w:num w:numId="2" w16cid:durableId="752479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C54"/>
    <w:rsid w:val="000129C5"/>
    <w:rsid w:val="001D1C13"/>
    <w:rsid w:val="00435380"/>
    <w:rsid w:val="004E4845"/>
    <w:rsid w:val="00536440"/>
    <w:rsid w:val="005B3CF0"/>
    <w:rsid w:val="008A3C54"/>
    <w:rsid w:val="00917B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63DC05"/>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kern w:val="2"/>
      <w:sz w:val="22"/>
      <w:szCs w:val="22"/>
      <w14:ligatures w14:val="standardContextual"/>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kern w:val="0"/>
      <w:sz w:val="24"/>
      <w:szCs w:val="24"/>
      <w:lang w:val="en-GB" w:eastAsia="en-GB"/>
      <w14:ligatures w14:val="non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bCs/>
      <w:sz w:val="20"/>
      <w:szCs w:val="20"/>
    </w:rPr>
  </w:style>
  <w:style w:type="paragraph" w:styleId="Revision">
    <w:name w:val="Revision"/>
    <w:uiPriority w:val="99"/>
    <w:semiHidden/>
    <w:rPr>
      <w:kern w:val="2"/>
      <w:sz w:val="22"/>
      <w:szCs w:val="22"/>
      <w14:ligatures w14:val="standardContextual"/>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Pr>
      <w:kern w:val="2"/>
      <w:sz w:val="22"/>
      <w:szCs w:val="2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F7CDE-F7ED-4127-AE6F-99071AA4F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Bekki</dc:creator>
  <cp:keywords/>
  <dc:description/>
  <cp:lastModifiedBy>فيصل فايز البلوشي</cp:lastModifiedBy>
  <cp:revision>4</cp:revision>
  <cp:lastPrinted>2024-04-29T20:05:00Z</cp:lastPrinted>
  <dcterms:created xsi:type="dcterms:W3CDTF">2024-05-14T09:39:00Z</dcterms:created>
  <dcterms:modified xsi:type="dcterms:W3CDTF">2024-05-15T18:23:00Z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fbdc56146031751999d1c2e5dbb1327a9591dbc37c58c49d64347e1b569c61e9</vt:lpwstr>
  </property>
</Properties>
</file>